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D60E65" w:rsidRPr="00CA466E" w:rsidRDefault="00D60E65" w:rsidP="00CA466E">
      <w:pPr>
        <w:spacing w:line="276" w:lineRule="auto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 w:rsidR="00CA466E">
        <w:rPr>
          <w:rFonts w:ascii="Tahoma" w:hAnsi="Tahoma"/>
          <w:color w:val="000000"/>
        </w:rPr>
        <w:t xml:space="preserve"> </w:t>
      </w:r>
      <w:r w:rsidRPr="00D60E65">
        <w:rPr>
          <w:rFonts w:ascii="Tahoma" w:hAnsi="Tahoma"/>
          <w:color w:val="000000"/>
        </w:rPr>
        <w:t xml:space="preserve">офисе </w:t>
      </w:r>
      <w:r w:rsidR="00CA466E">
        <w:rPr>
          <w:rFonts w:ascii="Tahoma" w:hAnsi="Tahoma"/>
          <w:color w:val="000000"/>
        </w:rPr>
        <w:t xml:space="preserve">продолжается ремонт, поэтому мы продолжаем работать на </w:t>
      </w:r>
      <w:proofErr w:type="spellStart"/>
      <w:r w:rsidR="00CA466E">
        <w:rPr>
          <w:rFonts w:ascii="Tahoma" w:hAnsi="Tahoma"/>
          <w:color w:val="000000"/>
        </w:rPr>
        <w:t>удаленке</w:t>
      </w:r>
      <w:proofErr w:type="spellEnd"/>
      <w:r w:rsidR="00CA466E">
        <w:rPr>
          <w:rFonts w:ascii="Tahoma" w:hAnsi="Tahoma"/>
          <w:color w:val="000000"/>
        </w:rPr>
        <w:t xml:space="preserve">. Технический директор дал нам задачу чуть глубже изучить особенности </w:t>
      </w:r>
      <w:r w:rsidR="00CA466E">
        <w:rPr>
          <w:rFonts w:ascii="Tahoma" w:hAnsi="Tahoma"/>
          <w:color w:val="000000"/>
          <w:lang w:val="en-US"/>
        </w:rPr>
        <w:t>CSS</w:t>
      </w:r>
      <w:r w:rsidR="00CA466E" w:rsidRPr="00CA466E">
        <w:rPr>
          <w:rFonts w:ascii="Tahoma" w:hAnsi="Tahoma"/>
          <w:color w:val="000000"/>
        </w:rPr>
        <w:t xml:space="preserve"> </w:t>
      </w:r>
      <w:r w:rsidR="00CA466E">
        <w:rPr>
          <w:rFonts w:ascii="Tahoma" w:hAnsi="Tahoma"/>
          <w:color w:val="000000"/>
        </w:rPr>
        <w:t xml:space="preserve">и проверить, подходят ли перечисленные в модуле </w:t>
      </w:r>
      <w:r w:rsidR="00CA466E">
        <w:rPr>
          <w:rFonts w:ascii="Tahoma" w:hAnsi="Tahoma"/>
          <w:color w:val="000000"/>
          <w:lang w:val="en-US"/>
        </w:rPr>
        <w:t>DO</w:t>
      </w:r>
      <w:r w:rsidR="00CA466E" w:rsidRPr="00CA466E">
        <w:rPr>
          <w:rFonts w:ascii="Tahoma" w:hAnsi="Tahoma"/>
          <w:color w:val="000000"/>
        </w:rPr>
        <w:t xml:space="preserve"> </w:t>
      </w:r>
      <w:r w:rsidR="00CA466E">
        <w:rPr>
          <w:rFonts w:ascii="Tahoma" w:hAnsi="Tahoma"/>
          <w:color w:val="000000"/>
        </w:rPr>
        <w:t xml:space="preserve">свойства под техническое задание заказчика. </w:t>
      </w:r>
    </w:p>
    <w:p w:rsidR="00D60E65" w:rsidRDefault="00D60E65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Pr="00CA466E" w:rsidRDefault="00D60E65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П</w:t>
      </w:r>
      <w:r w:rsidR="00CA466E">
        <w:rPr>
          <w:rFonts w:ascii="Tahoma" w:hAnsi="Tahoma"/>
          <w:color w:val="000000"/>
        </w:rPr>
        <w:t xml:space="preserve">ровести аудит применимости возможностей </w:t>
      </w:r>
      <w:r w:rsidR="00CA466E">
        <w:rPr>
          <w:rFonts w:ascii="Tahoma" w:hAnsi="Tahoma"/>
          <w:color w:val="000000"/>
          <w:lang w:val="en-US"/>
        </w:rPr>
        <w:t>CSS</w:t>
      </w:r>
      <w:r w:rsidR="00CA466E" w:rsidRPr="00CA466E">
        <w:rPr>
          <w:rFonts w:ascii="Tahoma" w:hAnsi="Tahoma"/>
          <w:color w:val="000000"/>
        </w:rPr>
        <w:t xml:space="preserve">3 </w:t>
      </w:r>
      <w:r w:rsidR="00CA466E">
        <w:rPr>
          <w:rFonts w:ascii="Tahoma" w:hAnsi="Tahoma"/>
          <w:color w:val="000000"/>
        </w:rPr>
        <w:t xml:space="preserve">в соответствии с </w:t>
      </w:r>
      <w:proofErr w:type="spellStart"/>
      <w:r w:rsidR="00CA466E">
        <w:rPr>
          <w:rFonts w:ascii="Tahoma" w:hAnsi="Tahoma"/>
          <w:color w:val="000000"/>
        </w:rPr>
        <w:t>нефукциональными</w:t>
      </w:r>
      <w:proofErr w:type="spellEnd"/>
      <w:r w:rsidR="00CA466E">
        <w:rPr>
          <w:rFonts w:ascii="Tahoma" w:hAnsi="Tahoma"/>
          <w:color w:val="000000"/>
        </w:rPr>
        <w:t xml:space="preserve"> требованиями заказчика к верстке</w:t>
      </w:r>
    </w:p>
    <w:p w:rsidR="00362CD6" w:rsidRDefault="00362CD6">
      <w:pPr>
        <w:rPr>
          <w:rFonts w:ascii="Tahoma" w:hAnsi="Tahoma"/>
          <w:color w:val="000000"/>
        </w:rPr>
      </w:pPr>
    </w:p>
    <w:p w:rsidR="00CA74F2" w:rsidRDefault="00D60E65" w:rsidP="00066FCC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066FCC" w:rsidRPr="00066FCC" w:rsidRDefault="00066FCC" w:rsidP="00066FCC">
      <w:pPr>
        <w:rPr>
          <w:rFonts w:ascii="Tahoma" w:hAnsi="Tahoma"/>
          <w:color w:val="000000"/>
          <w:sz w:val="28"/>
          <w:szCs w:val="28"/>
        </w:rPr>
      </w:pPr>
    </w:p>
    <w:p w:rsidR="00D374AE" w:rsidRPr="00066FCC" w:rsidRDefault="00CA466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Сайт должен одинаково отображаться на компьютерах, в современных браузерах и </w:t>
      </w:r>
      <w:r>
        <w:rPr>
          <w:rFonts w:ascii="Tahoma" w:hAnsi="Tahoma"/>
          <w:color w:val="000000"/>
          <w:lang w:val="en-US"/>
        </w:rPr>
        <w:t>Internet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Edge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от 12-й версии и старше</w:t>
      </w:r>
    </w:p>
    <w:p w:rsidR="00066FCC" w:rsidRDefault="00CA466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Адекватное отображение сайта в мобильных устройствах. </w:t>
      </w:r>
      <w:r>
        <w:rPr>
          <w:rFonts w:ascii="Tahoma" w:hAnsi="Tahoma"/>
          <w:color w:val="000000"/>
          <w:lang w:val="en-US"/>
        </w:rPr>
        <w:t>Chrome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for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Android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proofErr w:type="spellStart"/>
      <w:r>
        <w:rPr>
          <w:rFonts w:ascii="Tahoma" w:hAnsi="Tahoma"/>
          <w:color w:val="000000"/>
          <w:lang w:val="en-US"/>
        </w:rPr>
        <w:t>iOS</w:t>
      </w:r>
      <w:proofErr w:type="spellEnd"/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последних версий</w:t>
      </w:r>
    </w:p>
    <w:p w:rsidR="00B56193" w:rsidRPr="00362CD6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362CD6" w:rsidRPr="00CA466E" w:rsidRDefault="00CA466E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использовать сервис </w:t>
      </w:r>
      <w:r>
        <w:rPr>
          <w:rFonts w:ascii="Tahoma" w:hAnsi="Tahoma"/>
          <w:color w:val="000000"/>
          <w:lang w:val="en-US"/>
        </w:rPr>
        <w:t xml:space="preserve">caniuse.com </w:t>
      </w:r>
    </w:p>
    <w:p w:rsidR="00CA466E" w:rsidRDefault="00CA466E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Определять применимость </w:t>
      </w:r>
      <w:r>
        <w:rPr>
          <w:rFonts w:ascii="Tahoma" w:hAnsi="Tahoma"/>
          <w:color w:val="000000"/>
          <w:lang w:val="en-US"/>
        </w:rPr>
        <w:t>CSS</w:t>
      </w:r>
      <w:r w:rsidRPr="00CA466E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</w:rPr>
        <w:t>технологий</w:t>
      </w:r>
      <w:r w:rsidRPr="00CA46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в соответствии с техническим заданием</w:t>
      </w:r>
    </w:p>
    <w:p w:rsidR="00D60E65" w:rsidRDefault="00D60E65" w:rsidP="00362CD6">
      <w:pPr>
        <w:spacing w:line="360" w:lineRule="auto"/>
        <w:rPr>
          <w:rFonts w:ascii="Tahoma" w:hAnsi="Tahoma"/>
          <w:color w:val="FF0000"/>
        </w:rPr>
      </w:pPr>
    </w:p>
    <w:p w:rsidR="00D60E65" w:rsidRDefault="00362CD6" w:rsidP="00D60E65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t>@</w:t>
      </w:r>
      <w:proofErr w:type="spellStart"/>
      <w:r w:rsidRPr="00362CD6">
        <w:rPr>
          <w:rFonts w:ascii="Tahoma" w:hAnsi="Tahoma"/>
          <w:color w:val="FF0000"/>
          <w:lang w:val="en-US"/>
        </w:rPr>
        <w:t>todo</w:t>
      </w:r>
      <w:proofErr w:type="spellEnd"/>
      <w:r w:rsidRPr="00362CD6">
        <w:rPr>
          <w:rFonts w:ascii="Tahoma" w:hAnsi="Tahoma"/>
          <w:color w:val="FF0000"/>
        </w:rPr>
        <w:t xml:space="preserve"> </w:t>
      </w:r>
    </w:p>
    <w:p w:rsidR="00D60E65" w:rsidRPr="000561AD" w:rsidRDefault="00D60E65" w:rsidP="00CA466E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пошагово расписать процесс</w:t>
      </w:r>
      <w:r w:rsidR="00CA466E">
        <w:rPr>
          <w:rFonts w:ascii="Tahoma" w:hAnsi="Tahoma"/>
          <w:color w:val="FF0000"/>
        </w:rPr>
        <w:t xml:space="preserve"> использования сервиса </w:t>
      </w:r>
      <w:proofErr w:type="spellStart"/>
      <w:r w:rsidR="00CA466E">
        <w:rPr>
          <w:rFonts w:ascii="Tahoma" w:hAnsi="Tahoma"/>
          <w:color w:val="FF0000"/>
          <w:lang w:val="en-US"/>
        </w:rPr>
        <w:t>canius</w:t>
      </w:r>
      <w:r w:rsidR="000561AD">
        <w:rPr>
          <w:rFonts w:ascii="Tahoma" w:hAnsi="Tahoma"/>
          <w:color w:val="FF0000"/>
          <w:lang w:val="en-US"/>
        </w:rPr>
        <w:t>e</w:t>
      </w:r>
      <w:proofErr w:type="spellEnd"/>
    </w:p>
    <w:p w:rsidR="00CA466E" w:rsidRPr="00CA466E" w:rsidRDefault="00CA466E" w:rsidP="00CA466E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  <w:lang w:val="en-US"/>
        </w:rPr>
        <w:t xml:space="preserve">- </w:t>
      </w:r>
      <w:proofErr w:type="gramStart"/>
      <w:r>
        <w:rPr>
          <w:rFonts w:ascii="Tahoma" w:hAnsi="Tahoma"/>
          <w:color w:val="FF0000"/>
        </w:rPr>
        <w:t>продумать</w:t>
      </w:r>
      <w:proofErr w:type="gramEnd"/>
      <w:r>
        <w:rPr>
          <w:rFonts w:ascii="Tahoma" w:hAnsi="Tahoma"/>
          <w:color w:val="FF0000"/>
        </w:rPr>
        <w:t xml:space="preserve"> список свойств для проверки</w:t>
      </w:r>
    </w:p>
    <w:p w:rsidR="00CA74F2" w:rsidRPr="00362CD6" w:rsidRDefault="00CA74F2" w:rsidP="00362CD6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56309C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56309C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56309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066FCC" w:rsidRPr="008649D5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56309C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56309C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56309C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56309C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066FCC" w:rsidRPr="00C378CA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56309C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56309C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066FCC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56309C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56309C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56309C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066FCC" w:rsidRDefault="00066FCC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9C">
        <w:rPr>
          <w:rFonts w:ascii="Tahoma" w:hAnsi="Tahoma"/>
          <w:color w:val="000000"/>
        </w:rPr>
      </w:r>
      <w:r w:rsidR="0056309C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9C">
        <w:rPr>
          <w:rFonts w:ascii="Tahoma" w:hAnsi="Tahoma"/>
          <w:color w:val="000000"/>
        </w:rPr>
      </w:r>
      <w:r w:rsidR="0056309C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9C">
        <w:rPr>
          <w:rFonts w:ascii="Tahoma" w:hAnsi="Tahoma"/>
          <w:color w:val="000000"/>
        </w:rPr>
      </w:r>
      <w:r w:rsidR="0056309C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C23280" w:rsidRDefault="00066FCC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FCC" w:rsidRDefault="00066FCC" w:rsidP="00EA1A6C">
      <w:r>
        <w:separator/>
      </w:r>
    </w:p>
  </w:endnote>
  <w:endnote w:type="continuationSeparator" w:id="0">
    <w:p w:rsidR="00066FCC" w:rsidRDefault="00066FCC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FCC" w:rsidRDefault="00066FCC" w:rsidP="00EA1A6C">
      <w:r>
        <w:separator/>
      </w:r>
    </w:p>
  </w:footnote>
  <w:footnote w:type="continuationSeparator" w:id="0">
    <w:p w:rsidR="00066FCC" w:rsidRDefault="00066FCC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FCC" w:rsidRPr="00362CD6" w:rsidRDefault="00CA466E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>Релиз 2.6</w:t>
    </w:r>
    <w:r w:rsidR="00066FCC">
      <w:rPr>
        <w:rFonts w:ascii="Arial" w:hAnsi="Arial"/>
        <w:b/>
        <w:bCs/>
        <w:i/>
        <w:iCs/>
        <w:sz w:val="20"/>
        <w:szCs w:val="20"/>
      </w:rPr>
      <w:t xml:space="preserve"> – </w:t>
    </w:r>
    <w:r w:rsidR="00066FCC"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="00066FCC">
      <w:rPr>
        <w:rFonts w:ascii="Arial" w:hAnsi="Arial"/>
        <w:b/>
        <w:bCs/>
        <w:i/>
        <w:iCs/>
        <w:sz w:val="20"/>
        <w:szCs w:val="20"/>
      </w:rPr>
      <w:t xml:space="preserve"> )</w:t>
    </w:r>
    <w:r w:rsidR="00066FCC">
      <w:rPr>
        <w:rFonts w:ascii="Arial" w:hAnsi="Arial"/>
        <w:b/>
        <w:bCs/>
        <w:i/>
        <w:iCs/>
        <w:sz w:val="20"/>
        <w:szCs w:val="20"/>
      </w:rPr>
      <w:br/>
      <w:t>«</w:t>
    </w:r>
    <w:r w:rsidRPr="00CA466E">
      <w:rPr>
        <w:rFonts w:ascii="Arial" w:hAnsi="Arial"/>
        <w:b/>
        <w:bCs/>
        <w:i/>
        <w:iCs/>
        <w:sz w:val="20"/>
        <w:szCs w:val="20"/>
      </w:rPr>
      <w:t>CSS. Стандарты и поддержка браузерами. Сервис canisue.com</w:t>
    </w:r>
    <w:r w:rsidR="00D60E65" w:rsidRPr="00D60E65">
      <w:rPr>
        <w:rFonts w:ascii="Arial" w:hAnsi="Arial"/>
        <w:b/>
        <w:bCs/>
        <w:i/>
        <w:iCs/>
        <w:sz w:val="20"/>
        <w:szCs w:val="20"/>
      </w:rPr>
      <w:t>.</w:t>
    </w:r>
    <w:r w:rsidR="00066FCC"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7.5pt;height:187.5pt" o:bullet="t">
        <v:imagedata r:id="rId1" o:title="func"/>
      </v:shape>
    </w:pict>
  </w:numPicBullet>
  <w:numPicBullet w:numPicBulletId="1">
    <w:pict>
      <v:shape id="_x0000_i1027" type="#_x0000_t75" style="width:192pt;height:192pt" o:bullet="t">
        <v:imagedata r:id="rId2" o:title="nofunc"/>
      </v:shape>
    </w:pict>
  </w:numPicBullet>
  <w:numPicBullet w:numPicBulletId="2">
    <w:pict>
      <v:shape id="_x0000_i1028" type="#_x0000_t75" style="width:120pt;height:120pt" o:bullet="t">
        <v:imagedata r:id="rId3" o:title="nofunc2"/>
      </v:shape>
    </w:pict>
  </w:numPicBullet>
  <w:numPicBullet w:numPicBulletId="3">
    <w:pict>
      <v:shape id="_x0000_i1029" type="#_x0000_t75" style="width:75pt;height:75pt" o:bullet="t">
        <v:imagedata r:id="rId4" o:title="nofunc3"/>
      </v:shape>
    </w:pict>
  </w:numPicBullet>
  <w:numPicBullet w:numPicBulletId="4">
    <w:pict>
      <v:shape id="_x0000_i1030" type="#_x0000_t75" style="width:225pt;height:225pt" o:bullet="t">
        <v:imagedata r:id="rId5" o:title="obuch"/>
      </v:shape>
    </w:pict>
  </w:numPicBullet>
  <w:numPicBullet w:numPicBulletId="5">
    <w:pict>
      <v:shape id="_x0000_i1031" type="#_x0000_t75" style="width:189pt;height:189pt" o:bullet="t">
        <v:imagedata r:id="rId6" o:title="shag"/>
      </v:shape>
    </w:pict>
  </w:numPicBullet>
  <w:numPicBullet w:numPicBulletId="6">
    <w:pict>
      <v:shape id="_x0000_i103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561AD"/>
    <w:rsid w:val="00066FCC"/>
    <w:rsid w:val="0013719D"/>
    <w:rsid w:val="001C7EDB"/>
    <w:rsid w:val="001E1117"/>
    <w:rsid w:val="00245E90"/>
    <w:rsid w:val="00247B7D"/>
    <w:rsid w:val="00274C8A"/>
    <w:rsid w:val="00282441"/>
    <w:rsid w:val="002E7746"/>
    <w:rsid w:val="00322098"/>
    <w:rsid w:val="00362CD6"/>
    <w:rsid w:val="0038520E"/>
    <w:rsid w:val="003A4A5B"/>
    <w:rsid w:val="0041224D"/>
    <w:rsid w:val="0041723B"/>
    <w:rsid w:val="00443C7C"/>
    <w:rsid w:val="00446676"/>
    <w:rsid w:val="00521873"/>
    <w:rsid w:val="00560880"/>
    <w:rsid w:val="00561F4A"/>
    <w:rsid w:val="0056309C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466E"/>
    <w:rsid w:val="00CA74F2"/>
    <w:rsid w:val="00CB273B"/>
    <w:rsid w:val="00CC7E08"/>
    <w:rsid w:val="00CF65F5"/>
    <w:rsid w:val="00D00109"/>
    <w:rsid w:val="00D1047D"/>
    <w:rsid w:val="00D374AE"/>
    <w:rsid w:val="00D60E65"/>
    <w:rsid w:val="00D65400"/>
    <w:rsid w:val="00D9563F"/>
    <w:rsid w:val="00DC1BE1"/>
    <w:rsid w:val="00DC6947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998B2-BA19-4769-8D13-000C70AE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30</cp:revision>
  <cp:lastPrinted>2019-07-22T18:02:00Z</cp:lastPrinted>
  <dcterms:created xsi:type="dcterms:W3CDTF">2019-07-22T14:36:00Z</dcterms:created>
  <dcterms:modified xsi:type="dcterms:W3CDTF">2019-07-30T08:07:00Z</dcterms:modified>
  <dc:language>ru-RU</dc:language>
</cp:coreProperties>
</file>