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0B5249" w:rsidRDefault="000B5249" w:rsidP="00EF2F98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DA3891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DA3891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DA3891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DA3891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DA3891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0B5249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0B5249" w:rsidRPr="000B5249" w:rsidRDefault="000B5249" w:rsidP="00FB5165">
      <w:pPr>
        <w:rPr>
          <w:rFonts w:ascii="Tahoma" w:hAnsi="Tahoma"/>
          <w:color w:val="FF0000"/>
          <w:sz w:val="28"/>
          <w:szCs w:val="28"/>
        </w:rPr>
      </w:pPr>
      <w:r w:rsidRPr="000B5249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0B5249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0B5249">
        <w:rPr>
          <w:rFonts w:ascii="Tahoma" w:hAnsi="Tahoma"/>
          <w:color w:val="FF0000"/>
          <w:sz w:val="28"/>
          <w:szCs w:val="28"/>
        </w:rPr>
        <w:t xml:space="preserve"> – слушатели доделывают то, что не было сделано на семинарном занятии 4.5-</w:t>
      </w:r>
      <w:r w:rsidRPr="000B5249">
        <w:rPr>
          <w:rFonts w:ascii="Tahoma" w:hAnsi="Tahoma"/>
          <w:color w:val="FF0000"/>
          <w:sz w:val="28"/>
          <w:szCs w:val="28"/>
          <w:lang w:val="en-US"/>
        </w:rPr>
        <w:t>PD</w:t>
      </w:r>
      <w:r w:rsidRPr="000B5249">
        <w:rPr>
          <w:rFonts w:ascii="Tahoma" w:hAnsi="Tahoma"/>
          <w:color w:val="FF0000"/>
          <w:sz w:val="28"/>
          <w:szCs w:val="28"/>
        </w:rPr>
        <w:t>, в соответствии с функциональными требованиями</w:t>
      </w:r>
    </w:p>
    <w:p w:rsidR="000B5249" w:rsidRPr="000B5249" w:rsidRDefault="000B5249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0B5249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0B5249" w:rsidRDefault="00CA38C7">
      <w:pPr>
        <w:rPr>
          <w:rFonts w:ascii="Tahoma" w:hAnsi="Tahoma"/>
          <w:color w:val="000000"/>
          <w:sz w:val="28"/>
          <w:szCs w:val="28"/>
        </w:rPr>
      </w:pPr>
      <w:r w:rsidRPr="000B5249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0B5249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0B5249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5" type="#_x0000_t75" style="width:187.5pt;height:187.5pt" o:bullet="t">
        <v:imagedata r:id="rId1" o:title="func"/>
      </v:shape>
    </w:pict>
  </w:numPicBullet>
  <w:numPicBullet w:numPicBulletId="1">
    <w:pict>
      <v:shape id="_x0000_i1336" type="#_x0000_t75" style="width:735pt;height:724.5pt" o:bullet="t">
        <v:imagedata r:id="rId2" o:title="bug"/>
      </v:shape>
    </w:pict>
  </w:numPicBullet>
  <w:numPicBullet w:numPicBulletId="2">
    <w:pict>
      <v:shape id="_x0000_i1337" type="#_x0000_t75" style="width:735pt;height:726pt" o:bullet="t">
        <v:imagedata r:id="rId3" o:title="feature"/>
      </v:shape>
    </w:pict>
  </w:numPicBullet>
  <w:numPicBullet w:numPicBulletId="3">
    <w:pict>
      <v:shape id="_x0000_i1338" type="#_x0000_t75" style="width:1200pt;height:1200pt" o:bullet="t">
        <v:imagedata r:id="rId4" o:title="refactor2"/>
      </v:shape>
    </w:pict>
  </w:numPicBullet>
  <w:numPicBullet w:numPicBulletId="4">
    <w:pict>
      <v:shape id="_x0000_i1339" type="#_x0000_t75" style="width:735pt;height:742.5pt" o:bullet="t">
        <v:imagedata r:id="rId5" o:title="refactor"/>
      </v:shape>
    </w:pict>
  </w:numPicBullet>
  <w:numPicBullet w:numPicBulletId="5">
    <w:pict>
      <v:shape id="_x0000_i1340" type="#_x0000_t75" style="width:1449.75pt;height:1562.25pt" o:bullet="t">
        <v:imagedata r:id="rId6" o:title="book"/>
      </v:shape>
    </w:pict>
  </w:numPicBullet>
  <w:numPicBullet w:numPicBulletId="6">
    <w:pict>
      <v:shape id="_x0000_i1341" type="#_x0000_t75" style="width:512.25pt;height:512.25pt" o:bullet="t">
        <v:imagedata r:id="rId7" o:title="pet"/>
      </v:shape>
    </w:pict>
  </w:numPicBullet>
  <w:numPicBullet w:numPicBulletId="7">
    <w:pict>
      <v:shape id="_x0000_i1342" type="#_x0000_t75" style="width:480pt;height:480pt" o:bullet="t">
        <v:imagedata r:id="rId8" o:title="pet2"/>
      </v:shape>
    </w:pict>
  </w:numPicBullet>
  <w:numPicBullet w:numPicBulletId="8">
    <w:pict>
      <v:shape id="_x0000_i1343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B5249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A3891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C8476D-84D9-4BCF-8990-03F6B4F5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2019-07-23T04:03:00Z</dcterms:modified>
  <dc:language>ru-RU</dc:language>
</cp:coreProperties>
</file>