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both"/>
        <w:rPr>
          <w:rFonts w:ascii="黑体" w:hAnsi="黑体" w:eastAsia="黑体"/>
          <w:color w:val="000000"/>
          <w:sz w:val="20"/>
          <w:szCs w:val="20"/>
        </w:rPr>
      </w:pPr>
      <w:r>
        <w:rPr>
          <w:rFonts w:ascii="黑体" w:hAnsi="黑体" w:eastAsia="黑体"/>
          <w:b w:val="true"/>
          <w:bCs w:val="true"/>
          <w:color w:val="000000"/>
          <w:sz w:val="20"/>
          <w:szCs w:val="20"/>
        </w:rPr>
        <w:t>附表</w:t>
      </w:r>
    </w:p>
    <w:p>
      <w:pPr>
        <w:snapToGrid w:val="false"/>
        <w:spacing w:before="0" w:after="0" w:line="240" w:lineRule="auto"/>
        <w:ind/>
        <w:jc w:val="center"/>
        <w:rPr>
          <w:rFonts w:ascii="黑体" w:hAnsi="黑体" w:eastAsia="黑体"/>
          <w:b w:val="true"/>
          <w:bCs w:val="true"/>
          <w:color w:val="000000"/>
          <w:sz w:val="20"/>
          <w:szCs w:val="20"/>
        </w:rPr>
      </w:pPr>
      <w:r>
        <w:rPr>
          <w:rFonts w:ascii="黑体" w:hAnsi="黑体" w:eastAsia="黑体"/>
          <w:b w:val="true"/>
          <w:bCs w:val="true"/>
          <w:color w:val="000000"/>
          <w:sz w:val="20"/>
          <w:szCs w:val="20"/>
        </w:rPr>
        <w:t>附表一  CO</w:t>
      </w:r>
      <w:r>
        <w:rPr>
          <w:rFonts w:ascii="黑体" w:hAnsi="黑体" w:eastAsia="黑体"/>
          <w:b w:val="true"/>
          <w:bCs w:val="true"/>
          <w:color w:val="000000"/>
          <w:sz w:val="19"/>
          <w:szCs w:val="19"/>
          <w:vertAlign w:val="subscript"/>
        </w:rPr>
        <w:t>2</w:t>
      </w:r>
      <w:r>
        <w:rPr>
          <w:rFonts w:ascii="黑体" w:hAnsi="黑体" w:eastAsia="黑体"/>
          <w:b w:val="true"/>
          <w:bCs w:val="true"/>
          <w:color w:val="000000"/>
          <w:sz w:val="20"/>
          <w:szCs w:val="20"/>
        </w:rPr>
        <w:t>等温实验原始记录(有误差)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840"/>
        <w:gridCol w:w="690"/>
        <w:gridCol w:w="1260"/>
        <w:gridCol w:w="1080"/>
        <w:gridCol w:w="870"/>
        <w:gridCol w:w="885"/>
        <w:gridCol w:w="1335"/>
        <w:gridCol w:w="990"/>
        <w:gridCol w:w="915"/>
        <w:gridCol w:w="900"/>
        <w:gridCol w:w="1245"/>
        <w:gridCol w:w="990"/>
      </w:tblGrid>
      <w:tr>
        <w:trPr>
          <w:trHeight w:val="480" w:hRule="atLeast"/>
        </w:trPr>
        <w:tc>
          <w:tcPr>
            <w:tcW w:w="387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t=20℃</w:t>
            </w:r>
          </w:p>
        </w:tc>
        <w:tc>
          <w:tcPr>
            <w:tcW w:w="408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t=31.1℃</w:t>
            </w:r>
          </w:p>
        </w:tc>
        <w:tc>
          <w:tcPr>
            <w:tcW w:w="40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t=40℃</w:t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P</w:t>
            </w:r>
          </w:p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(MPa)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△h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现象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P</w:t>
            </w:r>
          </w:p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(MPa)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△h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现象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P</w:t>
            </w:r>
          </w:p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(MPa)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△h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现象</w:t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18.81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20.09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4.41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20.43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16.50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17.91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18.91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14.91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15.32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17.40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14.00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13.40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16.09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13.71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14.91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13.19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10.31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13.78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7.32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9.59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12.95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10.01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7.44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8.11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12.51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7.81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12.08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7.30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11.58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7.12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11.02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10.63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6.91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10.21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tLeast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center"/>
        <w:rPr>
          <w:rFonts w:ascii="黑体" w:hAnsi="黑体" w:eastAsia="黑体"/>
          <w:b w:val="true"/>
          <w:bCs w:val="true"/>
          <w:color w:val="000000"/>
          <w:sz w:val="20"/>
          <w:szCs w:val="20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  <w:r>
        <w:rPr>
          <w:rFonts w:ascii="黑体" w:hAnsi="黑体" w:eastAsia="黑体"/>
          <w:b w:val="true"/>
          <w:bCs w:val="true"/>
          <w:color w:val="000000"/>
          <w:sz w:val="20"/>
          <w:szCs w:val="20"/>
        </w:rPr>
        <w:t>附表二  临界比容υc(m</w:t>
      </w:r>
      <w:r>
        <w:rPr>
          <w:rFonts w:ascii="黑体" w:hAnsi="黑体" w:eastAsia="黑体"/>
          <w:b w:val="true"/>
          <w:bCs w:val="true"/>
          <w:color w:val="000000"/>
          <w:sz w:val="19"/>
          <w:szCs w:val="19"/>
          <w:vertAlign w:val="superscript"/>
        </w:rPr>
        <w:t>3</w:t>
      </w:r>
      <w:r>
        <w:rPr>
          <w:rFonts w:ascii="黑体" w:hAnsi="黑体" w:eastAsia="黑体"/>
          <w:b w:val="true"/>
          <w:bCs w:val="true"/>
          <w:color w:val="000000"/>
          <w:sz w:val="20"/>
          <w:szCs w:val="20"/>
        </w:rPr>
        <w:t>/kg)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95"/>
        <w:gridCol w:w="1695"/>
        <w:gridCol w:w="1695"/>
        <w:gridCol w:w="1695"/>
      </w:tblGrid>
      <w:tr>
        <w:trPr>
          <w:trHeight w:val="70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标准值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实验值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  <w:tr>
        <w:trPr>
          <w:trHeight w:val="70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0.00216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6838" w:h="11906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