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CD180">
      <w:pPr>
        <w:pStyle w:val="6"/>
        <w:spacing w:after="160" w:line="360" w:lineRule="auto"/>
        <w:jc w:val="center"/>
      </w:pPr>
      <w:r>
        <w:rPr>
          <w:rFonts w:ascii="Calibri" w:hAnsi="Calibri" w:eastAsia="微软雅黑"/>
          <w:b/>
          <w:color w:val="4B3829"/>
          <w:sz w:val="56"/>
          <w:szCs w:val="56"/>
        </w:rPr>
        <w:t>窑创未来</w:t>
      </w:r>
    </w:p>
    <w:p w14:paraId="35A9D883">
      <w:pPr>
        <w:pStyle w:val="5"/>
        <w:spacing w:after="280" w:line="360" w:lineRule="auto"/>
        <w:jc w:val="center"/>
      </w:pPr>
      <w:r>
        <w:rPr>
          <w:rFonts w:ascii="Calibri" w:hAnsi="Calibri" w:eastAsia="微软雅黑"/>
          <w:color w:val="6A4A31"/>
          <w:sz w:val="28"/>
          <w:szCs w:val="28"/>
        </w:rPr>
        <w:t>AI智焕柴烧陶瓷非遗数字导览馆项目介绍</w:t>
      </w:r>
    </w:p>
    <w:p w14:paraId="0B62A345">
      <w:pPr>
        <w:spacing w:after="120" w:line="360" w:lineRule="auto"/>
        <w:jc w:val="center"/>
      </w:pPr>
      <w:bookmarkStart w:id="0" w:name="_GoBack"/>
      <w:bookmarkEnd w:id="0"/>
      <w:r>
        <w:rPr>
          <w:rFonts w:ascii="Calibri" w:hAnsi="Calibri" w:eastAsia="微软雅黑"/>
          <w:color w:val="666666"/>
          <w:sz w:val="21"/>
          <w:szCs w:val="21"/>
        </w:rPr>
        <w:t>线上地址：https://yaochuangfuture.cn/</w:t>
      </w:r>
    </w:p>
    <w:p w14:paraId="352E4383">
      <w:pPr>
        <w:spacing w:after="360" w:line="360" w:lineRule="auto"/>
        <w:jc w:val="center"/>
      </w:pPr>
      <w:r>
        <w:rPr>
          <w:rFonts w:ascii="Calibri" w:hAnsi="Calibri" w:eastAsia="微软雅黑"/>
          <w:color w:val="666666"/>
          <w:sz w:val="21"/>
          <w:szCs w:val="21"/>
        </w:rPr>
        <w:t>生成日期：2026年5月28日</w:t>
      </w:r>
    </w:p>
    <w:p w14:paraId="04D18EB8">
      <w:pPr>
        <w:spacing w:after="120" w:line="360" w:lineRule="auto"/>
        <w:jc w:val="center"/>
      </w:pPr>
      <w:r>
        <w:rPr>
          <w:rFonts w:ascii="Calibri" w:hAnsi="Calibri" w:eastAsia="微软雅黑"/>
          <w:color w:val="888888"/>
          <w:sz w:val="18"/>
          <w:szCs w:val="18"/>
        </w:rPr>
        <w:t>资料来源：官网地址检索、本地 Vue / Spring Boot / RAG-Agent 源码、项目现有说明文档与页面截图。</w:t>
      </w:r>
    </w:p>
    <w:p w14:paraId="62CBA2A5">
      <w:r>
        <w:br w:type="page"/>
      </w:r>
    </w:p>
    <w:p w14:paraId="02D53322">
      <w:pPr>
        <w:pStyle w:val="2"/>
        <w:spacing w:after="120" w:line="360" w:lineRule="auto"/>
      </w:pPr>
      <w:r>
        <w:rPr>
          <w:rFonts w:ascii="Calibri" w:hAnsi="Calibri" w:eastAsia="微软雅黑"/>
        </w:rPr>
        <w:t>一、项目概述</w:t>
      </w:r>
    </w:p>
    <w:p w14:paraId="4649C12E">
      <w:pPr>
        <w:pStyle w:val="3"/>
        <w:spacing w:after="120" w:line="360" w:lineRule="auto"/>
      </w:pPr>
      <w:r>
        <w:rPr>
          <w:rFonts w:ascii="Calibri" w:hAnsi="Calibri" w:eastAsia="微软雅黑"/>
        </w:rPr>
        <w:t>“窑创未来”是面向柴烧陶瓷非遗传播、导览、学习、互动与运营的综合型数字平台。项目以“AI智焕柴烧陶瓷非遗数字导览馆”为主题，将古灶结构、工艺流程、作品审美、传承人故事、数字藏品、社区互动、文创商城和后台管理整合到一个前后端分离系统中，形成从线上认知到线下参与、再到线上沉淀的持续运营闭环。</w:t>
      </w:r>
    </w:p>
    <w:p w14:paraId="7314242A">
      <w:pPr>
        <w:pStyle w:val="3"/>
        <w:spacing w:after="120" w:line="360" w:lineRule="auto"/>
      </w:pPr>
      <w:r>
        <w:rPr>
          <w:rFonts w:ascii="Calibri" w:hAnsi="Calibri" w:eastAsia="微软雅黑"/>
        </w:rPr>
        <w:t>平台强调“看见工艺、看懂审美、沉淀数字资产、推动实践参与”。用户可以通过 3D 窑炉导览理解柴烧结构与温场逻辑，通过 AI 鉴赏和 RAG 问答获得可解释的学习辅助，通过兑换码领取非金融化数字藏品，并在社区、商城和个人中心持续沉淀参与记录。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6900"/>
      </w:tblGrid>
      <w:tr w14:paraId="7E5DDD17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  <w:shd w:val="clear" w:color="auto" w:fill="F4EADB"/>
          </w:tcPr>
          <w:p w14:paraId="2C5B04C4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项目维度</w:t>
            </w:r>
          </w:p>
        </w:tc>
        <w:tc>
          <w:tcPr>
            <w:tcW w:w="6900" w:type="dxa"/>
            <w:shd w:val="clear" w:color="auto" w:fill="F4EADB"/>
          </w:tcPr>
          <w:p w14:paraId="1647CCAA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 w14:paraId="634F2DB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685805ED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项目名称</w:t>
            </w:r>
          </w:p>
        </w:tc>
        <w:tc>
          <w:tcPr>
            <w:tcW w:w="6900" w:type="dxa"/>
          </w:tcPr>
          <w:p w14:paraId="17C344CF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窑创未来</w:t>
            </w:r>
          </w:p>
        </w:tc>
      </w:tr>
      <w:tr w14:paraId="67B00F44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1F7FD1B0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核心定位</w:t>
            </w:r>
          </w:p>
        </w:tc>
        <w:tc>
          <w:tcPr>
            <w:tcW w:w="6900" w:type="dxa"/>
          </w:tcPr>
          <w:p w14:paraId="1B3E5DE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柴烧非遗数字化展示、智能化解读与运营转化平台</w:t>
            </w:r>
          </w:p>
        </w:tc>
      </w:tr>
      <w:tr w14:paraId="27A856CB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616C71BC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服务对象</w:t>
            </w:r>
          </w:p>
        </w:tc>
        <w:tc>
          <w:tcPr>
            <w:tcW w:w="6900" w:type="dxa"/>
          </w:tcPr>
          <w:p w14:paraId="1FB7A42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非遗场馆、研学活动组织方、文旅景区、高校课程、学习者与合作评审方</w:t>
            </w:r>
          </w:p>
        </w:tc>
      </w:tr>
      <w:tr w14:paraId="4198F50C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45C833E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核心链路</w:t>
            </w:r>
          </w:p>
        </w:tc>
        <w:tc>
          <w:tcPr>
            <w:tcW w:w="6900" w:type="dxa"/>
          </w:tcPr>
          <w:p w14:paraId="00D2E4E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导览 - 智鉴 - 收藏 - 参访 - 社区/商城复访</w:t>
            </w:r>
          </w:p>
        </w:tc>
      </w:tr>
      <w:tr w14:paraId="531D8A61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3604C2D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技术形态</w:t>
            </w:r>
          </w:p>
        </w:tc>
        <w:tc>
          <w:tcPr>
            <w:tcW w:w="6900" w:type="dxa"/>
          </w:tcPr>
          <w:p w14:paraId="25D46E8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Vue3 前端 + Spring Boot 后端 + MySQL/MyBatis + RAG-Agent 智能问答服务</w:t>
            </w:r>
          </w:p>
        </w:tc>
      </w:tr>
      <w:tr w14:paraId="232A4B7C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2A6550C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线上入口</w:t>
            </w:r>
          </w:p>
        </w:tc>
        <w:tc>
          <w:tcPr>
            <w:tcW w:w="6900" w:type="dxa"/>
          </w:tcPr>
          <w:p w14:paraId="0B60458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https://yaochuangfuture.cn/</w:t>
            </w:r>
          </w:p>
        </w:tc>
      </w:tr>
    </w:tbl>
    <w:p w14:paraId="03418AE9">
      <w:pPr>
        <w:spacing w:after="120" w:line="360" w:lineRule="auto"/>
      </w:pPr>
    </w:p>
    <w:p w14:paraId="736EB72D">
      <w:pPr>
        <w:pStyle w:val="2"/>
        <w:spacing w:after="120" w:line="360" w:lineRule="auto"/>
      </w:pPr>
      <w:r>
        <w:rPr>
          <w:rFonts w:ascii="Calibri" w:hAnsi="Calibri" w:eastAsia="微软雅黑"/>
        </w:rPr>
        <w:t>二、建设背景与问题定义</w:t>
      </w:r>
    </w:p>
    <w:p w14:paraId="4F788F84">
      <w:pPr>
        <w:pStyle w:val="3"/>
        <w:spacing w:after="120" w:line="360" w:lineRule="auto"/>
      </w:pPr>
      <w:r>
        <w:rPr>
          <w:rFonts w:ascii="Calibri" w:hAnsi="Calibri" w:eastAsia="微软雅黑"/>
        </w:rPr>
        <w:t>传统柴烧陶瓷依赖窑炉经验、火痕落灰、胎土变化和釉变审美等复合知识，线下讲解常受时间、空间和讲解人员限制，普通用户难以系统理解“为什么这样烧、为什么形成这种肌理、如何判断工艺差异”。</w:t>
      </w:r>
    </w:p>
    <w:p w14:paraId="72396A2D">
      <w:pPr>
        <w:pStyle w:val="3"/>
        <w:spacing w:after="120" w:line="360" w:lineRule="auto"/>
      </w:pPr>
      <w:r>
        <w:rPr>
          <w:rFonts w:ascii="Calibri" w:hAnsi="Calibri" w:eastAsia="微软雅黑"/>
        </w:rPr>
        <w:t>非遗展陈通常容易停留在图文展示层面，缺少从导览、学习、互动、留存到复访的完整转化路径；研学活动结束后，参与记录也容易分散，难以形成可持续运营资产。</w:t>
      </w:r>
    </w:p>
    <w:p w14:paraId="34E0FBD9">
      <w:pPr>
        <w:pStyle w:val="3"/>
        <w:spacing w:after="120" w:line="360" w:lineRule="auto"/>
      </w:pPr>
      <w:r>
        <w:rPr>
          <w:rFonts w:ascii="Calibri" w:hAnsi="Calibri" w:eastAsia="微软雅黑"/>
        </w:rPr>
        <w:t>项目以数字化和 AI 辅助能力补足这类缺口：用页面化导览降低理解门槛，用 RAG 问答和结构化鉴赏提升解释可信度，用兑换码和数字藏品把线下行为转化为线上记录，用后台管理支撑内容上新和活动复盘。</w:t>
      </w:r>
    </w:p>
    <w:p w14:paraId="62FBAF2D">
      <w:pPr>
        <w:pStyle w:val="2"/>
        <w:spacing w:after="120" w:line="360" w:lineRule="auto"/>
      </w:pPr>
      <w:r>
        <w:rPr>
          <w:rFonts w:ascii="Calibri" w:hAnsi="Calibri" w:eastAsia="微软雅黑"/>
        </w:rPr>
        <w:t>三、项目目标</w:t>
      </w:r>
    </w:p>
    <w:p w14:paraId="0830CFB2">
      <w:pPr>
        <w:pStyle w:val="3"/>
        <w:spacing w:after="120" w:line="360" w:lineRule="auto"/>
      </w:pPr>
      <w:r>
        <w:rPr>
          <w:rFonts w:ascii="Calibri" w:hAnsi="Calibri" w:eastAsia="微软雅黑"/>
        </w:rPr>
        <w:t>• 建立柴烧非遗的数字展示入口，让古灶结构、制作流程、作品特征和传承故事可视化、可浏览、可复用。</w:t>
      </w:r>
    </w:p>
    <w:p w14:paraId="372D55B7">
      <w:pPr>
        <w:pStyle w:val="3"/>
        <w:spacing w:after="120" w:line="360" w:lineRule="auto"/>
      </w:pPr>
      <w:r>
        <w:rPr>
          <w:rFonts w:ascii="Calibri" w:hAnsi="Calibri" w:eastAsia="微软雅黑"/>
        </w:rPr>
        <w:t>• 构建可解释的智能学习体验，让用户通过 AI 辅助鉴赏和柴烧知识问答理解火痕、落灰、釉变、器型、胎土等专业概念。</w:t>
      </w:r>
    </w:p>
    <w:p w14:paraId="6FECB31E">
      <w:pPr>
        <w:pStyle w:val="3"/>
        <w:spacing w:after="120" w:line="360" w:lineRule="auto"/>
      </w:pPr>
      <w:r>
        <w:rPr>
          <w:rFonts w:ascii="Calibri" w:hAnsi="Calibri" w:eastAsia="微软雅黑"/>
        </w:rPr>
        <w:t>• 形成“线下活动 - 兑换码 - 数字藏品 - 用户中心”的参与留存机制，支持研学活动、场馆运营和文旅转化。</w:t>
      </w:r>
    </w:p>
    <w:p w14:paraId="75BADCDD">
      <w:pPr>
        <w:pStyle w:val="3"/>
        <w:spacing w:after="120" w:line="360" w:lineRule="auto"/>
      </w:pPr>
      <w:r>
        <w:rPr>
          <w:rFonts w:ascii="Calibri" w:hAnsi="Calibri" w:eastAsia="微软雅黑"/>
        </w:rPr>
        <w:t>• 提供管理端能力，使非技术运营人员能够维护藏品、兑换码、导览配置、社区内容和商城商品。</w:t>
      </w:r>
    </w:p>
    <w:p w14:paraId="1F87710C">
      <w:pPr>
        <w:pStyle w:val="3"/>
        <w:spacing w:after="120" w:line="360" w:lineRule="auto"/>
      </w:pPr>
      <w:r>
        <w:rPr>
          <w:rFonts w:ascii="Calibri" w:hAnsi="Calibri" w:eastAsia="微软雅黑"/>
        </w:rPr>
        <w:t>• 沉淀面向答辩、展示、教学和合作沟通的项目证据链，体现技术实现、业务闭环和非遗传播价值。</w:t>
      </w:r>
    </w:p>
    <w:p w14:paraId="24B00445">
      <w:pPr>
        <w:pStyle w:val="2"/>
        <w:spacing w:after="120" w:line="360" w:lineRule="auto"/>
      </w:pPr>
      <w:r>
        <w:rPr>
          <w:rFonts w:ascii="Calibri" w:hAnsi="Calibri" w:eastAsia="微软雅黑"/>
        </w:rPr>
        <w:t>四、总体架构</w:t>
      </w:r>
    </w:p>
    <w:p w14:paraId="295500A5">
      <w:pPr>
        <w:pStyle w:val="3"/>
        <w:spacing w:after="120" w:line="360" w:lineRule="auto"/>
      </w:pPr>
      <w:r>
        <w:rPr>
          <w:rFonts w:ascii="Calibri" w:hAnsi="Calibri" w:eastAsia="微软雅黑"/>
        </w:rPr>
        <w:t>项目采用前后端分离和智能服务解耦的架构。前端负责页面呈现、交互体验和用户路径组织；Spring Boot 后端提供身份认证、藏品、社区、商城、后台与 AI 网关接口；RAG-Agent 作为独立知识问答服务，负责柴烧知识文档加载、向量检索和检索增强回答；数据库与对象存储负责结构化数据、图片、模型和上传资源管理。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00"/>
        <w:gridCol w:w="3300"/>
        <w:gridCol w:w="4100"/>
      </w:tblGrid>
      <w:tr w14:paraId="7F6A042B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shd w:val="clear" w:color="auto" w:fill="F4EADB"/>
          </w:tcPr>
          <w:p w14:paraId="1E9238E3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层级</w:t>
            </w:r>
          </w:p>
        </w:tc>
        <w:tc>
          <w:tcPr>
            <w:tcW w:w="3300" w:type="dxa"/>
            <w:shd w:val="clear" w:color="auto" w:fill="F4EADB"/>
          </w:tcPr>
          <w:p w14:paraId="4483EC7B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主要组成</w:t>
            </w:r>
          </w:p>
        </w:tc>
        <w:tc>
          <w:tcPr>
            <w:tcW w:w="4100" w:type="dxa"/>
            <w:shd w:val="clear" w:color="auto" w:fill="F4EADB"/>
          </w:tcPr>
          <w:p w14:paraId="11179733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作用</w:t>
            </w:r>
          </w:p>
        </w:tc>
      </w:tr>
      <w:tr w14:paraId="33069114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</w:tcPr>
          <w:p w14:paraId="288A18E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前端展示层</w:t>
            </w:r>
          </w:p>
        </w:tc>
        <w:tc>
          <w:tcPr>
            <w:tcW w:w="3300" w:type="dxa"/>
          </w:tcPr>
          <w:p w14:paraId="14D8AADF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Vue3、Vite、Vue Router、Element Plus、model-viewer</w:t>
            </w:r>
          </w:p>
        </w:tc>
        <w:tc>
          <w:tcPr>
            <w:tcW w:w="4100" w:type="dxa"/>
          </w:tcPr>
          <w:p w14:paraId="5C43935D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承载首页、导览、藏品馆、智鉴中枢、关于、商城、社区、后台页面</w:t>
            </w:r>
          </w:p>
        </w:tc>
      </w:tr>
      <w:tr w14:paraId="0AFF3BB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</w:tcPr>
          <w:p w14:paraId="750B574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业务接口层</w:t>
            </w:r>
          </w:p>
        </w:tc>
        <w:tc>
          <w:tcPr>
            <w:tcW w:w="3300" w:type="dxa"/>
          </w:tcPr>
          <w:p w14:paraId="6FB798BB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Spring Boot 2.7、Java 17、MyBatis、JWT、OSS 上传工具</w:t>
            </w:r>
          </w:p>
        </w:tc>
        <w:tc>
          <w:tcPr>
            <w:tcW w:w="4100" w:type="dxa"/>
          </w:tcPr>
          <w:p w14:paraId="328201B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提供用户认证、藏品、兑换码、社区、商城、订单、后台管理、AI 调用等接口</w:t>
            </w:r>
          </w:p>
        </w:tc>
      </w:tr>
      <w:tr w14:paraId="61F00275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</w:tcPr>
          <w:p w14:paraId="4050ECE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智能服务层</w:t>
            </w:r>
          </w:p>
        </w:tc>
        <w:tc>
          <w:tcPr>
            <w:tcW w:w="3300" w:type="dxa"/>
          </w:tcPr>
          <w:p w14:paraId="15861B7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RAG-Agent、FastAPI、FAISS、嵌入模型、大语言模型兼容接口</w:t>
            </w:r>
          </w:p>
        </w:tc>
        <w:tc>
          <w:tcPr>
            <w:tcW w:w="4100" w:type="dxa"/>
          </w:tcPr>
          <w:p w14:paraId="0D496AE0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对柴烧知识库进行检索增强问答，输出更贴近项目知识边界的回答</w:t>
            </w:r>
          </w:p>
        </w:tc>
      </w:tr>
      <w:tr w14:paraId="54253CBD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</w:tcPr>
          <w:p w14:paraId="57BA3A70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数据资源层</w:t>
            </w:r>
          </w:p>
        </w:tc>
        <w:tc>
          <w:tcPr>
            <w:tcW w:w="3300" w:type="dxa"/>
          </w:tcPr>
          <w:p w14:paraId="51060E4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MySQL、SQL 初始化脚本、OSS/静态资源、图片与 GLB 模型</w:t>
            </w:r>
          </w:p>
        </w:tc>
        <w:tc>
          <w:tcPr>
            <w:tcW w:w="4100" w:type="dxa"/>
          </w:tcPr>
          <w:p w14:paraId="69F723B1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存储用户、藏品、收藏、兑换码、社区文章、商城订单、导览配置和媒体资源</w:t>
            </w:r>
          </w:p>
        </w:tc>
      </w:tr>
      <w:tr w14:paraId="6DDC7F8C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</w:tcPr>
          <w:p w14:paraId="2EB7154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运营闭环层</w:t>
            </w:r>
          </w:p>
        </w:tc>
        <w:tc>
          <w:tcPr>
            <w:tcW w:w="3300" w:type="dxa"/>
          </w:tcPr>
          <w:p w14:paraId="217E9E9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兑换码、后台上下架、社区发布、商城订单、个人中心</w:t>
            </w:r>
          </w:p>
        </w:tc>
        <w:tc>
          <w:tcPr>
            <w:tcW w:w="4100" w:type="dxa"/>
          </w:tcPr>
          <w:p w14:paraId="5858A6B1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支持线下活动转化、内容运营、用户留存和复访</w:t>
            </w:r>
          </w:p>
        </w:tc>
      </w:tr>
    </w:tbl>
    <w:p w14:paraId="09D50991">
      <w:pPr>
        <w:spacing w:after="120" w:line="360" w:lineRule="auto"/>
      </w:pPr>
    </w:p>
    <w:p w14:paraId="1D23537C">
      <w:pPr>
        <w:pStyle w:val="2"/>
        <w:spacing w:after="120" w:line="360" w:lineRule="auto"/>
      </w:pPr>
      <w:r>
        <w:rPr>
          <w:rFonts w:ascii="Calibri" w:hAnsi="Calibri" w:eastAsia="微软雅黑"/>
        </w:rPr>
        <w:t>五、功能模块介绍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550"/>
        <w:gridCol w:w="4350"/>
        <w:gridCol w:w="3100"/>
      </w:tblGrid>
      <w:tr w14:paraId="1E596531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  <w:shd w:val="clear" w:color="auto" w:fill="F4EADB"/>
          </w:tcPr>
          <w:p w14:paraId="7D2EE1A0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模块</w:t>
            </w:r>
          </w:p>
        </w:tc>
        <w:tc>
          <w:tcPr>
            <w:tcW w:w="4350" w:type="dxa"/>
            <w:shd w:val="clear" w:color="auto" w:fill="F4EADB"/>
          </w:tcPr>
          <w:p w14:paraId="259AEAA5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用户侧能力</w:t>
            </w:r>
          </w:p>
        </w:tc>
        <w:tc>
          <w:tcPr>
            <w:tcW w:w="3100" w:type="dxa"/>
            <w:shd w:val="clear" w:color="auto" w:fill="F4EADB"/>
          </w:tcPr>
          <w:p w14:paraId="2E104FDA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运营/管理能力</w:t>
            </w:r>
          </w:p>
        </w:tc>
      </w:tr>
      <w:tr w14:paraId="3853FFF6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79DB8D0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首页</w:t>
            </w:r>
          </w:p>
        </w:tc>
        <w:tc>
          <w:tcPr>
            <w:tcW w:w="4350" w:type="dxa"/>
          </w:tcPr>
          <w:p w14:paraId="2BA0AA53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项目首屏、核心调研指标、业务入口、推荐导览路线、社区最新发布</w:t>
            </w:r>
          </w:p>
        </w:tc>
        <w:tc>
          <w:tcPr>
            <w:tcW w:w="3100" w:type="dxa"/>
          </w:tcPr>
          <w:p w14:paraId="24AB713B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展示项目定位，组织用户进入关键链路</w:t>
            </w:r>
          </w:p>
        </w:tc>
      </w:tr>
      <w:tr w14:paraId="797A06D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6BDB4A1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柴烧导览</w:t>
            </w:r>
          </w:p>
        </w:tc>
        <w:tc>
          <w:tcPr>
            <w:tcW w:w="4350" w:type="dxa"/>
          </w:tcPr>
          <w:p w14:paraId="26D0ECFC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柴烧秘境、马坝风采、制作步骤、非遗匠人；支持窑炉热点、作品画廊、流程时间线、人物卡片</w:t>
            </w:r>
          </w:p>
        </w:tc>
        <w:tc>
          <w:tcPr>
            <w:tcW w:w="3100" w:type="dxa"/>
          </w:tcPr>
          <w:p w14:paraId="727B515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可维护导览配置、热点说明和流程内容</w:t>
            </w:r>
          </w:p>
        </w:tc>
      </w:tr>
      <w:tr w14:paraId="51CB30FE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0048A60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数字藏品馆</w:t>
            </w:r>
          </w:p>
        </w:tc>
        <w:tc>
          <w:tcPr>
            <w:tcW w:w="4350" w:type="dxa"/>
          </w:tcPr>
          <w:p w14:paraId="28C11A2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藏品总览、筛选检索、藏品详情、收藏进度、兑换码兑换、个人收藏</w:t>
            </w:r>
          </w:p>
        </w:tc>
        <w:tc>
          <w:tcPr>
            <w:tcW w:w="3100" w:type="dxa"/>
          </w:tcPr>
          <w:p w14:paraId="38752E9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上新/编辑/上下架藏品，上传封面和 GLB，发放与管理兑换码</w:t>
            </w:r>
          </w:p>
        </w:tc>
      </w:tr>
      <w:tr w14:paraId="4EF33786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17E72F3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智鉴中枢</w:t>
            </w:r>
          </w:p>
        </w:tc>
        <w:tc>
          <w:tcPr>
            <w:tcW w:w="4350" w:type="dxa"/>
          </w:tcPr>
          <w:p w14:paraId="340921C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AI 辅助鉴赏、柴烧知识问答、参考依据标签、本地降级答复</w:t>
            </w:r>
          </w:p>
        </w:tc>
        <w:tc>
          <w:tcPr>
            <w:tcW w:w="3100" w:type="dxa"/>
          </w:tcPr>
          <w:p w14:paraId="6F208A0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统一 AI 网关，支撑教学、答辩与导览咨询</w:t>
            </w:r>
          </w:p>
        </w:tc>
      </w:tr>
      <w:tr w14:paraId="0CA52CFC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628AE79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实践转化</w:t>
            </w:r>
          </w:p>
        </w:tc>
        <w:tc>
          <w:tcPr>
            <w:tcW w:w="4350" w:type="dxa"/>
          </w:tcPr>
          <w:p w14:paraId="696B572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调研成果展示、研学到访流程、预约参与信息</w:t>
            </w:r>
          </w:p>
        </w:tc>
        <w:tc>
          <w:tcPr>
            <w:tcW w:w="3100" w:type="dxa"/>
          </w:tcPr>
          <w:p w14:paraId="5C2CDA0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承接线下参访、活动复盘与合作展示</w:t>
            </w:r>
          </w:p>
        </w:tc>
      </w:tr>
      <w:tr w14:paraId="3DFEFDF5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6BF5DDC3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社区广场</w:t>
            </w:r>
          </w:p>
        </w:tc>
        <w:tc>
          <w:tcPr>
            <w:tcW w:w="4350" w:type="dxa"/>
          </w:tcPr>
          <w:p w14:paraId="5322BAD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查看最新文章、发布活动纪实/心得/故事、文章详情</w:t>
            </w:r>
          </w:p>
        </w:tc>
        <w:tc>
          <w:tcPr>
            <w:tcW w:w="3100" w:type="dxa"/>
          </w:tcPr>
          <w:p w14:paraId="0DD4BBE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文章管理、内容审核与社区运营</w:t>
            </w:r>
          </w:p>
        </w:tc>
      </w:tr>
      <w:tr w14:paraId="1E69245F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023DD67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文创商城</w:t>
            </w:r>
          </w:p>
        </w:tc>
        <w:tc>
          <w:tcPr>
            <w:tcW w:w="4350" w:type="dxa"/>
          </w:tcPr>
          <w:p w14:paraId="57E6B64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商品浏览、详情、购物车、下单、付款状态提交、订单查看</w:t>
            </w:r>
          </w:p>
        </w:tc>
        <w:tc>
          <w:tcPr>
            <w:tcW w:w="3100" w:type="dxa"/>
          </w:tcPr>
          <w:p w14:paraId="6D4954E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商品管理、库存/上下架、订单审核、发货管理</w:t>
            </w:r>
          </w:p>
        </w:tc>
      </w:tr>
      <w:tr w14:paraId="2FC6AE0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50" w:type="dxa"/>
          </w:tcPr>
          <w:p w14:paraId="12C9BABF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身份与用户中心</w:t>
            </w:r>
          </w:p>
        </w:tc>
        <w:tc>
          <w:tcPr>
            <w:tcW w:w="4350" w:type="dxa"/>
          </w:tcPr>
          <w:p w14:paraId="6673D2C1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注册登录、个人信息、收藏记录、订单记录</w:t>
            </w:r>
          </w:p>
        </w:tc>
        <w:tc>
          <w:tcPr>
            <w:tcW w:w="3100" w:type="dxa"/>
          </w:tcPr>
          <w:p w14:paraId="1CD821B3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JWT 鉴权、管理员入口和权限约束</w:t>
            </w:r>
          </w:p>
        </w:tc>
      </w:tr>
    </w:tbl>
    <w:p w14:paraId="442011C9">
      <w:pPr>
        <w:spacing w:after="120" w:line="360" w:lineRule="auto"/>
      </w:pPr>
    </w:p>
    <w:p w14:paraId="05507105">
      <w:pPr>
        <w:pStyle w:val="2"/>
        <w:spacing w:after="120" w:line="360" w:lineRule="auto"/>
      </w:pPr>
      <w:r>
        <w:rPr>
          <w:rFonts w:ascii="Calibri" w:hAnsi="Calibri" w:eastAsia="微软雅黑"/>
        </w:rPr>
        <w:t>六、核心用户旅程</w:t>
      </w:r>
    </w:p>
    <w:p w14:paraId="30994883">
      <w:pPr>
        <w:pStyle w:val="3"/>
        <w:spacing w:after="120" w:line="360" w:lineRule="auto"/>
      </w:pPr>
      <w:r>
        <w:rPr>
          <w:rFonts w:ascii="Calibri" w:hAnsi="Calibri" w:eastAsia="微软雅黑"/>
        </w:rPr>
        <w:t>• 首次访问：用户从首页了解项目主题、核心数据和推荐路线，进入柴烧导览建立基础认知。</w:t>
      </w:r>
    </w:p>
    <w:p w14:paraId="222CA8DC">
      <w:pPr>
        <w:pStyle w:val="3"/>
        <w:spacing w:after="120" w:line="360" w:lineRule="auto"/>
      </w:pPr>
      <w:r>
        <w:rPr>
          <w:rFonts w:ascii="Calibri" w:hAnsi="Calibri" w:eastAsia="微软雅黑"/>
        </w:rPr>
        <w:t>• 深入学习：用户进入智鉴中枢上传作品图片或提出问题，系统围绕火痕、落灰、釉变、器型、胎土等维度给出结构化说明。</w:t>
      </w:r>
    </w:p>
    <w:p w14:paraId="3C8AFEB4">
      <w:pPr>
        <w:pStyle w:val="3"/>
        <w:spacing w:after="120" w:line="360" w:lineRule="auto"/>
      </w:pPr>
      <w:r>
        <w:rPr>
          <w:rFonts w:ascii="Calibri" w:hAnsi="Calibri" w:eastAsia="微软雅黑"/>
        </w:rPr>
        <w:t>• 参与活动：用户在线下研学或展馆活动中获得兑换码，回到平台兑换主题数字藏品，形成参与凭证。</w:t>
      </w:r>
    </w:p>
    <w:p w14:paraId="46D44034">
      <w:pPr>
        <w:pStyle w:val="3"/>
        <w:spacing w:after="120" w:line="360" w:lineRule="auto"/>
      </w:pPr>
      <w:r>
        <w:rPr>
          <w:rFonts w:ascii="Calibri" w:hAnsi="Calibri" w:eastAsia="微软雅黑"/>
        </w:rPr>
        <w:t>• 持续运营：用户在个人中心查看收藏进度和订单，在社区发布内容或浏览他人经验，平台通过后台持续上新藏品、商品和内容。</w:t>
      </w:r>
    </w:p>
    <w:p w14:paraId="1AE8F86A">
      <w:pPr>
        <w:pStyle w:val="2"/>
        <w:spacing w:after="120" w:line="360" w:lineRule="auto"/>
      </w:pPr>
      <w:r>
        <w:rPr>
          <w:rFonts w:ascii="Calibri" w:hAnsi="Calibri" w:eastAsia="微软雅黑"/>
        </w:rPr>
        <w:t>七、技术实现要点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7200"/>
      </w:tblGrid>
      <w:tr w14:paraId="795C4ED6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  <w:shd w:val="clear" w:color="auto" w:fill="F4EADB"/>
          </w:tcPr>
          <w:p w14:paraId="6B6FAAB6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方向</w:t>
            </w:r>
          </w:p>
        </w:tc>
        <w:tc>
          <w:tcPr>
            <w:tcW w:w="7200" w:type="dxa"/>
            <w:shd w:val="clear" w:color="auto" w:fill="F4EADB"/>
          </w:tcPr>
          <w:p w14:paraId="2F4D34E6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实现要点</w:t>
            </w:r>
          </w:p>
        </w:tc>
      </w:tr>
      <w:tr w14:paraId="11B70D23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39C7D822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前端工程</w:t>
            </w:r>
          </w:p>
        </w:tc>
        <w:tc>
          <w:tcPr>
            <w:tcW w:w="7200" w:type="dxa"/>
          </w:tcPr>
          <w:p w14:paraId="64604A12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Vue3 + Vite 构建，使用 Vue Router 组织 /ceramics 下的主题页面；按 guide、collections、intelligence、shop、community、about、admin 等模块拆分。</w:t>
            </w:r>
          </w:p>
        </w:tc>
      </w:tr>
      <w:tr w14:paraId="6D5DE539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4BB26D5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UI 与媒体</w:t>
            </w:r>
          </w:p>
        </w:tc>
        <w:tc>
          <w:tcPr>
            <w:tcW w:w="7200" w:type="dxa"/>
          </w:tcPr>
          <w:p w14:paraId="440AAFF0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使用陶瓷/窑火主题视觉资源，页面截图与 WebP 图片作为核心视觉资产；3D 资源通过 model-viewer 兼容加载。</w:t>
            </w:r>
          </w:p>
        </w:tc>
      </w:tr>
      <w:tr w14:paraId="5948F8A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0C7DB706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接口通信</w:t>
            </w:r>
          </w:p>
        </w:tc>
        <w:tc>
          <w:tcPr>
            <w:tcW w:w="7200" w:type="dxa"/>
          </w:tcPr>
          <w:p w14:paraId="363662C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axios 封装藏品、社区、商城、后台接口；VITE_API_BASE_URL 支持按环境切换后端地址。</w:t>
            </w:r>
          </w:p>
        </w:tc>
      </w:tr>
      <w:tr w14:paraId="3045200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1D4FB55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后端服务</w:t>
            </w:r>
          </w:p>
        </w:tc>
        <w:tc>
          <w:tcPr>
            <w:tcW w:w="7200" w:type="dxa"/>
          </w:tcPr>
          <w:p w14:paraId="2B492533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Spring Boot 2.7 + Java 17，MyBatis XML 映射，统一 Result 返回结构，全局异常处理，JWT 拦截与文件上传支持。</w:t>
            </w:r>
          </w:p>
        </w:tc>
      </w:tr>
      <w:tr w14:paraId="24308B6F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3AE64D5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数据模型</w:t>
            </w:r>
          </w:p>
        </w:tc>
        <w:tc>
          <w:tcPr>
            <w:tcW w:w="7200" w:type="dxa"/>
          </w:tcPr>
          <w:p w14:paraId="54B13AE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围绕藏品系列、藏品项、兑换码、用户账户、社区文章、商城商品、购物车、订单和导览配置建模。</w:t>
            </w:r>
          </w:p>
        </w:tc>
      </w:tr>
      <w:tr w14:paraId="748055D4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2BD90E0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智能问答</w:t>
            </w:r>
          </w:p>
        </w:tc>
        <w:tc>
          <w:tcPr>
            <w:tcW w:w="7200" w:type="dxa"/>
          </w:tcPr>
          <w:p w14:paraId="45C3E24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AIController 提供 chatbot、图像描述、摘要、内容审核等接口；AIService 可接入讯飞星火、通义千问、NVIDIA 视觉模型和 RAG 服务。</w:t>
            </w:r>
          </w:p>
        </w:tc>
      </w:tr>
      <w:tr w14:paraId="0A1F94AB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156BD2C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RAG-Agent</w:t>
            </w:r>
          </w:p>
        </w:tc>
        <w:tc>
          <w:tcPr>
            <w:tcW w:w="7200" w:type="dxa"/>
          </w:tcPr>
          <w:p w14:paraId="19709736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独立 FastAPI 服务加载 TXT/PDF 知识文档，使用向量检索命中相关片段，再由大模型组织回答，适合柴烧非遗垂直问答。</w:t>
            </w:r>
          </w:p>
        </w:tc>
      </w:tr>
      <w:tr w14:paraId="6EB9489A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800" w:type="dxa"/>
          </w:tcPr>
          <w:p w14:paraId="67ADA530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存储与资源</w:t>
            </w:r>
          </w:p>
        </w:tc>
        <w:tc>
          <w:tcPr>
            <w:tcW w:w="7200" w:type="dxa"/>
          </w:tcPr>
          <w:p w14:paraId="084E32B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后端支持 MySQL 数据持久化和 OSS/静态资源上传，藏品可关联封面图与 GLB 模型地址。</w:t>
            </w:r>
          </w:p>
        </w:tc>
      </w:tr>
    </w:tbl>
    <w:p w14:paraId="7448E802">
      <w:pPr>
        <w:spacing w:after="120" w:line="360" w:lineRule="auto"/>
      </w:pPr>
    </w:p>
    <w:p w14:paraId="0BCA58F4">
      <w:pPr>
        <w:pStyle w:val="2"/>
        <w:spacing w:after="120" w:line="360" w:lineRule="auto"/>
      </w:pPr>
      <w:r>
        <w:rPr>
          <w:rFonts w:ascii="Calibri" w:hAnsi="Calibri" w:eastAsia="微软雅黑"/>
        </w:rPr>
        <w:t>八、RAG 与 AI 鉴赏设计</w:t>
      </w:r>
    </w:p>
    <w:p w14:paraId="1F5AE8EF">
      <w:pPr>
        <w:pStyle w:val="3"/>
        <w:spacing w:after="120" w:line="360" w:lineRule="auto"/>
      </w:pPr>
      <w:r>
        <w:rPr>
          <w:rFonts w:ascii="Calibri" w:hAnsi="Calibri" w:eastAsia="微软雅黑"/>
        </w:rPr>
        <w:t>项目中的 AI 能力定位为“辅助学习与导览解释”，不是替代专家鉴定。RAG 问答会先从项目知识库中检索柴烧概述、工艺流程、窑炉结构、火痕落灰、釉变、器型审美、传承人资料、数字藏品规则等内容，再组织自然语言回答。AI 辅助鉴赏则围绕图片可观察到的表征输出结构化说明，例如火痕方向、落灰厚度、色彩过渡、胎体肌理、器型特征等。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3700"/>
        <w:gridCol w:w="3200"/>
      </w:tblGrid>
      <w:tr w14:paraId="496F404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  <w:shd w:val="clear" w:color="auto" w:fill="F4EADB"/>
          </w:tcPr>
          <w:p w14:paraId="3C003943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能力</w:t>
            </w:r>
          </w:p>
        </w:tc>
        <w:tc>
          <w:tcPr>
            <w:tcW w:w="3700" w:type="dxa"/>
            <w:shd w:val="clear" w:color="auto" w:fill="F4EADB"/>
          </w:tcPr>
          <w:p w14:paraId="5AA1B96F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输出形式</w:t>
            </w:r>
          </w:p>
        </w:tc>
        <w:tc>
          <w:tcPr>
            <w:tcW w:w="3200" w:type="dxa"/>
            <w:shd w:val="clear" w:color="auto" w:fill="F4EADB"/>
          </w:tcPr>
          <w:p w14:paraId="4CF55AD2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边界说明</w:t>
            </w:r>
          </w:p>
        </w:tc>
      </w:tr>
      <w:tr w14:paraId="16AD5DE6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76FD173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柴烧知识问答</w:t>
            </w:r>
          </w:p>
        </w:tc>
        <w:tc>
          <w:tcPr>
            <w:tcW w:w="3700" w:type="dxa"/>
          </w:tcPr>
          <w:p w14:paraId="363F4CA0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自然语言回答、参考标签、连续追问体验</w:t>
            </w:r>
          </w:p>
        </w:tc>
        <w:tc>
          <w:tcPr>
            <w:tcW w:w="3200" w:type="dxa"/>
          </w:tcPr>
          <w:p w14:paraId="6C0EE69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优先基于知识库内容回答；资料不足时应说明依据不足</w:t>
            </w:r>
          </w:p>
        </w:tc>
      </w:tr>
      <w:tr w14:paraId="49ADC58C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4458C736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AI 辅助鉴赏</w:t>
            </w:r>
          </w:p>
        </w:tc>
        <w:tc>
          <w:tcPr>
            <w:tcW w:w="3700" w:type="dxa"/>
          </w:tcPr>
          <w:p w14:paraId="623ED68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摘要、置信度、特征点、证据说明、学习建议</w:t>
            </w:r>
          </w:p>
        </w:tc>
        <w:tc>
          <w:tcPr>
            <w:tcW w:w="3200" w:type="dxa"/>
          </w:tcPr>
          <w:p w14:paraId="17A5186C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用于科普学习，不判断真伪、年代、价格或投资价值</w:t>
            </w:r>
          </w:p>
        </w:tc>
      </w:tr>
      <w:tr w14:paraId="6EF75DFC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6A92FF26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本地降级</w:t>
            </w:r>
          </w:p>
        </w:tc>
        <w:tc>
          <w:tcPr>
            <w:tcW w:w="3700" w:type="dxa"/>
          </w:tcPr>
          <w:p w14:paraId="27DCC8CD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连接异常时提供本地知识库回退答复</w:t>
            </w:r>
          </w:p>
        </w:tc>
        <w:tc>
          <w:tcPr>
            <w:tcW w:w="3200" w:type="dxa"/>
          </w:tcPr>
          <w:p w14:paraId="3D937792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保证展示和答辩场景下的基本可用性</w:t>
            </w:r>
          </w:p>
        </w:tc>
      </w:tr>
    </w:tbl>
    <w:p w14:paraId="1315930C">
      <w:pPr>
        <w:spacing w:after="120" w:line="360" w:lineRule="auto"/>
      </w:pPr>
    </w:p>
    <w:p w14:paraId="7C9FFCB7">
      <w:pPr>
        <w:pStyle w:val="2"/>
        <w:spacing w:after="120" w:line="360" w:lineRule="auto"/>
      </w:pPr>
      <w:r>
        <w:rPr>
          <w:rFonts w:ascii="Calibri" w:hAnsi="Calibri" w:eastAsia="微软雅黑"/>
        </w:rPr>
        <w:t>九、数据与运营闭环</w:t>
      </w:r>
    </w:p>
    <w:p w14:paraId="71A67F9F">
      <w:pPr>
        <w:pStyle w:val="3"/>
        <w:spacing w:after="120" w:line="360" w:lineRule="auto"/>
      </w:pPr>
      <w:r>
        <w:rPr>
          <w:rFonts w:ascii="Calibri" w:hAnsi="Calibri" w:eastAsia="微软雅黑"/>
        </w:rPr>
        <w:t>项目的核心价值不只在于展示页面，而在于把非遗传播链路转化为可运营的数据闭环。平台通过导览内容建立认知，通过智能问答强化理解，通过兑换码连接线下活动，通过数字藏品和个人中心沉淀参与记录，通过社区和商城实现持续互动与转化。</w:t>
      </w:r>
    </w:p>
    <w:p w14:paraId="60F950D9">
      <w:pPr>
        <w:pStyle w:val="3"/>
        <w:spacing w:after="120" w:line="360" w:lineRule="auto"/>
      </w:pPr>
      <w:r>
        <w:rPr>
          <w:rFonts w:ascii="Calibri" w:hAnsi="Calibri" w:eastAsia="微软雅黑"/>
        </w:rPr>
        <w:t>• 导览数据：窑炉热点、制作步骤、传承人、作品画廊和实践成果可按模块维护。</w:t>
      </w:r>
    </w:p>
    <w:p w14:paraId="6A3220BC">
      <w:pPr>
        <w:pStyle w:val="3"/>
        <w:spacing w:after="120" w:line="360" w:lineRule="auto"/>
      </w:pPr>
      <w:r>
        <w:rPr>
          <w:rFonts w:ascii="Calibri" w:hAnsi="Calibri" w:eastAsia="微软雅黑"/>
        </w:rPr>
        <w:t>• 藏品数据：藏品编号、系列、稀有度、封面、3D 模型、描述、上架状态和兑换状态可结构化管理。</w:t>
      </w:r>
    </w:p>
    <w:p w14:paraId="12D94163">
      <w:pPr>
        <w:pStyle w:val="3"/>
        <w:spacing w:after="120" w:line="360" w:lineRule="auto"/>
      </w:pPr>
      <w:r>
        <w:rPr>
          <w:rFonts w:ascii="Calibri" w:hAnsi="Calibri" w:eastAsia="微软雅黑"/>
        </w:rPr>
        <w:t>• 兑换码链路：后台生成兑换码，线下活动发放，用户线上兑换，系统写入个人收藏。</w:t>
      </w:r>
    </w:p>
    <w:p w14:paraId="73C01F9B">
      <w:pPr>
        <w:pStyle w:val="3"/>
        <w:spacing w:after="120" w:line="360" w:lineRule="auto"/>
      </w:pPr>
      <w:r>
        <w:rPr>
          <w:rFonts w:ascii="Calibri" w:hAnsi="Calibri" w:eastAsia="微软雅黑"/>
        </w:rPr>
        <w:t>• 社区链路：用户发布活动纪实、工艺心得和传承故事，首页与社区页可承接最新内容。</w:t>
      </w:r>
    </w:p>
    <w:p w14:paraId="33E900F4">
      <w:pPr>
        <w:pStyle w:val="3"/>
        <w:spacing w:after="120" w:line="360" w:lineRule="auto"/>
      </w:pPr>
      <w:r>
        <w:rPr>
          <w:rFonts w:ascii="Calibri" w:hAnsi="Calibri" w:eastAsia="微软雅黑"/>
        </w:rPr>
        <w:t>• 商城链路：商品、库存、购物车、订单、付款确认和发货状态形成文创销售闭环。</w:t>
      </w:r>
    </w:p>
    <w:p w14:paraId="718FB3EB">
      <w:pPr>
        <w:pStyle w:val="2"/>
        <w:spacing w:after="120" w:line="360" w:lineRule="auto"/>
      </w:pPr>
      <w:r>
        <w:rPr>
          <w:rFonts w:ascii="Calibri" w:hAnsi="Calibri" w:eastAsia="微软雅黑"/>
        </w:rPr>
        <w:t>十、创新点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6000"/>
      </w:tblGrid>
      <w:tr w14:paraId="1F5C5C19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3000" w:type="dxa"/>
            <w:shd w:val="clear" w:color="auto" w:fill="F4EADB"/>
          </w:tcPr>
          <w:p w14:paraId="088862FA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创新点</w:t>
            </w:r>
          </w:p>
        </w:tc>
        <w:tc>
          <w:tcPr>
            <w:tcW w:w="6000" w:type="dxa"/>
            <w:shd w:val="clear" w:color="auto" w:fill="F4EADB"/>
          </w:tcPr>
          <w:p w14:paraId="6602400B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 w14:paraId="36D52578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3000" w:type="dxa"/>
          </w:tcPr>
          <w:p w14:paraId="1045839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线下非遗活动与线上数字藏品联动</w:t>
            </w:r>
          </w:p>
        </w:tc>
        <w:tc>
          <w:tcPr>
            <w:tcW w:w="6000" w:type="dxa"/>
          </w:tcPr>
          <w:p w14:paraId="62165E2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通过兑换码把到访、研学和活动参与转化为线上收藏记录，便于后续复访和活动复盘。</w:t>
            </w:r>
          </w:p>
        </w:tc>
      </w:tr>
      <w:tr w14:paraId="28F20C5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3000" w:type="dxa"/>
          </w:tcPr>
          <w:p w14:paraId="46D1F12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非金融化数字藏品机制</w:t>
            </w:r>
          </w:p>
        </w:tc>
        <w:tc>
          <w:tcPr>
            <w:tcW w:w="6000" w:type="dxa"/>
          </w:tcPr>
          <w:p w14:paraId="7D632D8B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保留系列化、稀有度、入库和完成度机制，但不引入交易投机，突出文化传播与学习留存。</w:t>
            </w:r>
          </w:p>
        </w:tc>
      </w:tr>
      <w:tr w14:paraId="14373FB7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3000" w:type="dxa"/>
          </w:tcPr>
          <w:p w14:paraId="35D34B5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导览 - 智鉴 - 收藏 - 参访四段式闭环</w:t>
            </w:r>
          </w:p>
        </w:tc>
        <w:tc>
          <w:tcPr>
            <w:tcW w:w="6000" w:type="dxa"/>
          </w:tcPr>
          <w:p w14:paraId="5CD60D69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从“看见”推进到“看懂、参与、留存、复访”，比单纯图文展示更适合长期运营。</w:t>
            </w:r>
          </w:p>
        </w:tc>
      </w:tr>
      <w:tr w14:paraId="00E157B2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3000" w:type="dxa"/>
          </w:tcPr>
          <w:p w14:paraId="7463D3F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可解释 RAG 问答</w:t>
            </w:r>
          </w:p>
        </w:tc>
        <w:tc>
          <w:tcPr>
            <w:tcW w:w="6000" w:type="dxa"/>
          </w:tcPr>
          <w:p w14:paraId="0F48F6DE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答案基于本地柴烧知识库检索生成，并通过参考标签降低 AI 黑盒感。</w:t>
            </w:r>
          </w:p>
        </w:tc>
      </w:tr>
      <w:tr w14:paraId="3C67D25A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3000" w:type="dxa"/>
          </w:tcPr>
          <w:p w14:paraId="5A4164C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AI 鉴赏与知识问答串联</w:t>
            </w:r>
          </w:p>
        </w:tc>
        <w:tc>
          <w:tcPr>
            <w:tcW w:w="6000" w:type="dxa"/>
          </w:tcPr>
          <w:p w14:paraId="007F5F46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先输出结构化图像鉴赏，再引导用户追问工艺机理，增强学习深度。</w:t>
            </w:r>
          </w:p>
        </w:tc>
      </w:tr>
      <w:tr w14:paraId="79818F92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3000" w:type="dxa"/>
          </w:tcPr>
          <w:p w14:paraId="484D6A8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管理端能力下沉</w:t>
            </w:r>
          </w:p>
        </w:tc>
        <w:tc>
          <w:tcPr>
            <w:tcW w:w="6000" w:type="dxa"/>
          </w:tcPr>
          <w:p w14:paraId="02E66B2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藏品上新、上下架、GLB 上传、兑换码、社区内容和商城订单管理整合到业务后台。</w:t>
            </w:r>
          </w:p>
        </w:tc>
      </w:tr>
    </w:tbl>
    <w:p w14:paraId="0FF0270F">
      <w:pPr>
        <w:spacing w:after="120" w:line="360" w:lineRule="auto"/>
      </w:pPr>
    </w:p>
    <w:p w14:paraId="50EC3867">
      <w:pPr>
        <w:pStyle w:val="2"/>
        <w:spacing w:after="120" w:line="360" w:lineRule="auto"/>
      </w:pPr>
      <w:r>
        <w:rPr>
          <w:rFonts w:ascii="Calibri" w:hAnsi="Calibri" w:eastAsia="微软雅黑"/>
        </w:rPr>
        <w:t>十一、应用场景与价值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4100"/>
        <w:gridCol w:w="2800"/>
      </w:tblGrid>
      <w:tr w14:paraId="40609CFB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  <w:shd w:val="clear" w:color="auto" w:fill="F4EADB"/>
          </w:tcPr>
          <w:p w14:paraId="7995ABB5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场景</w:t>
            </w:r>
          </w:p>
        </w:tc>
        <w:tc>
          <w:tcPr>
            <w:tcW w:w="4100" w:type="dxa"/>
            <w:shd w:val="clear" w:color="auto" w:fill="F4EADB"/>
          </w:tcPr>
          <w:p w14:paraId="3960C094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应用方式</w:t>
            </w:r>
          </w:p>
        </w:tc>
        <w:tc>
          <w:tcPr>
            <w:tcW w:w="2800" w:type="dxa"/>
            <w:shd w:val="clear" w:color="auto" w:fill="F4EADB"/>
          </w:tcPr>
          <w:p w14:paraId="5782308F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价值</w:t>
            </w:r>
          </w:p>
        </w:tc>
      </w:tr>
      <w:tr w14:paraId="29839A7C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346DE44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非遗场馆展陈</w:t>
            </w:r>
          </w:p>
        </w:tc>
        <w:tc>
          <w:tcPr>
            <w:tcW w:w="4100" w:type="dxa"/>
          </w:tcPr>
          <w:p w14:paraId="442E99CF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作为展馆数字导览和互动问答入口</w:t>
            </w:r>
          </w:p>
        </w:tc>
        <w:tc>
          <w:tcPr>
            <w:tcW w:w="2800" w:type="dxa"/>
          </w:tcPr>
          <w:p w14:paraId="2D406A2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提升讲解效率，降低用户理解门槛</w:t>
            </w:r>
          </w:p>
        </w:tc>
      </w:tr>
      <w:tr w14:paraId="26B9B129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03C1A26D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研学教育活动</w:t>
            </w:r>
          </w:p>
        </w:tc>
        <w:tc>
          <w:tcPr>
            <w:tcW w:w="4100" w:type="dxa"/>
          </w:tcPr>
          <w:p w14:paraId="4735902C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配置研学路线、任务、兑换码和成果展示</w:t>
            </w:r>
          </w:p>
        </w:tc>
        <w:tc>
          <w:tcPr>
            <w:tcW w:w="2800" w:type="dxa"/>
          </w:tcPr>
          <w:p w14:paraId="4D12EC01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沉淀学生参与记录和学习成果</w:t>
            </w:r>
          </w:p>
        </w:tc>
      </w:tr>
      <w:tr w14:paraId="24178CDE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4994003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文旅景区引流</w:t>
            </w:r>
          </w:p>
        </w:tc>
        <w:tc>
          <w:tcPr>
            <w:tcW w:w="4100" w:type="dxa"/>
          </w:tcPr>
          <w:p w14:paraId="4EBFBD2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用线上导览、藏品兑换和社区内容承接线下客流</w:t>
            </w:r>
          </w:p>
        </w:tc>
        <w:tc>
          <w:tcPr>
            <w:tcW w:w="2800" w:type="dxa"/>
          </w:tcPr>
          <w:p w14:paraId="4A3E8DD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提高复访率和传播扩散</w:t>
            </w:r>
          </w:p>
        </w:tc>
      </w:tr>
      <w:tr w14:paraId="5C7941A0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7363B6D4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高校课程与竞赛</w:t>
            </w:r>
          </w:p>
        </w:tc>
        <w:tc>
          <w:tcPr>
            <w:tcW w:w="4100" w:type="dxa"/>
          </w:tcPr>
          <w:p w14:paraId="1BF4BF3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展示技术路线、AI 应用、前后端工程和非遗研究成果</w:t>
            </w:r>
          </w:p>
        </w:tc>
        <w:tc>
          <w:tcPr>
            <w:tcW w:w="2800" w:type="dxa"/>
          </w:tcPr>
          <w:p w14:paraId="3349D4AB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支撑答辩、课程实践和项目申报</w:t>
            </w:r>
          </w:p>
        </w:tc>
      </w:tr>
      <w:tr w14:paraId="58C40E81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100" w:type="dxa"/>
          </w:tcPr>
          <w:p w14:paraId="31EC27CB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非遗机构运营</w:t>
            </w:r>
          </w:p>
        </w:tc>
        <w:tc>
          <w:tcPr>
            <w:tcW w:w="4100" w:type="dxa"/>
          </w:tcPr>
          <w:p w14:paraId="22FAD382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后台维护藏品、活动、社区和商城内容</w:t>
            </w:r>
          </w:p>
        </w:tc>
        <w:tc>
          <w:tcPr>
            <w:tcW w:w="2800" w:type="dxa"/>
          </w:tcPr>
          <w:p w14:paraId="14DAC7D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让非技术人员也能进行持续内容运营</w:t>
            </w:r>
          </w:p>
        </w:tc>
      </w:tr>
    </w:tbl>
    <w:p w14:paraId="458640E0">
      <w:pPr>
        <w:spacing w:after="120" w:line="360" w:lineRule="auto"/>
      </w:pPr>
    </w:p>
    <w:p w14:paraId="5D91705E">
      <w:pPr>
        <w:pStyle w:val="2"/>
        <w:spacing w:after="120" w:line="360" w:lineRule="auto"/>
      </w:pPr>
      <w:r>
        <w:rPr>
          <w:rFonts w:ascii="Calibri" w:hAnsi="Calibri" w:eastAsia="微软雅黑"/>
        </w:rPr>
        <w:t>十二、页面成果展示</w:t>
      </w:r>
    </w:p>
    <w:p w14:paraId="17FF5213">
      <w:pPr>
        <w:pStyle w:val="4"/>
        <w:spacing w:after="120" w:line="360" w:lineRule="auto"/>
        <w:jc w:val="center"/>
      </w:pPr>
      <w:r>
        <w:rPr>
          <w:rFonts w:ascii="Calibri" w:hAnsi="Calibri" w:eastAsia="微软雅黑"/>
          <w:b/>
          <w:color w:val="6A4A31"/>
        </w:rPr>
        <w:t>首页：项目首屏、核心指标、业务入口与社区最新发布</w:t>
      </w:r>
    </w:p>
    <w:p w14:paraId="7C531DAF">
      <w:pPr>
        <w:spacing w:after="120"/>
        <w:jc w:val="center"/>
      </w:pPr>
      <w:r>
        <w:drawing>
          <wp:inline distT="0" distB="0" distL="0" distR="0">
            <wp:extent cx="1402080" cy="2926080"/>
            <wp:effectExtent l="0" t="0" r="0" b="0"/>
            <wp:docPr id="110" name="01-home-full.png" descr="首页：项目首屏、核心指标、业务入口与社区最新发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01-home-full.png" descr="首页：项目首屏、核心指标、业务入口与社区最新发布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218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CD95">
      <w:pPr>
        <w:pStyle w:val="4"/>
        <w:spacing w:after="120" w:line="360" w:lineRule="auto"/>
        <w:jc w:val="center"/>
      </w:pPr>
      <w:r>
        <w:rPr>
          <w:rFonts w:ascii="Calibri" w:hAnsi="Calibri" w:eastAsia="微软雅黑"/>
          <w:b/>
          <w:color w:val="6A4A31"/>
        </w:rPr>
        <w:t>柴烧导览：窑炉结构、热点讲解与 3D 导览体验</w:t>
      </w:r>
    </w:p>
    <w:p w14:paraId="76A7E31A">
      <w:pPr>
        <w:spacing w:after="120"/>
        <w:jc w:val="center"/>
      </w:pPr>
      <w:r>
        <w:drawing>
          <wp:inline distT="0" distB="0" distL="0" distR="0">
            <wp:extent cx="1398270" cy="2926080"/>
            <wp:effectExtent l="0" t="0" r="0" b="0"/>
            <wp:docPr id="111" name="02-guide-kiln-full.png" descr="柴烧导览：窑炉结构、热点讲解与 3D 导览体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02-guide-kiln-full.png" descr="柴烧导览：窑炉结构、热点讲解与 3D 导览体验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845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9254">
      <w:pPr>
        <w:pStyle w:val="4"/>
        <w:spacing w:after="120" w:line="360" w:lineRule="auto"/>
        <w:jc w:val="center"/>
      </w:pPr>
      <w:r>
        <w:rPr>
          <w:rFonts w:ascii="Calibri" w:hAnsi="Calibri" w:eastAsia="微软雅黑"/>
          <w:b/>
          <w:color w:val="6A4A31"/>
        </w:rPr>
        <w:t>数字藏品馆：藏品总览、筛选检索与收藏入口</w:t>
      </w:r>
    </w:p>
    <w:p w14:paraId="5FD83799">
      <w:pPr>
        <w:spacing w:after="120"/>
        <w:jc w:val="center"/>
      </w:pPr>
      <w:r>
        <w:drawing>
          <wp:inline distT="0" distB="0" distL="0" distR="0">
            <wp:extent cx="1774825" cy="2926080"/>
            <wp:effectExtent l="0" t="0" r="0" b="0"/>
            <wp:docPr id="112" name="04-collections-full.png" descr="数字藏品馆：藏品总览、筛选检索与收藏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04-collections-full.png" descr="数字藏品馆：藏品总览、筛选检索与收藏入口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487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D90F">
      <w:pPr>
        <w:pStyle w:val="4"/>
        <w:spacing w:after="120" w:line="360" w:lineRule="auto"/>
        <w:jc w:val="center"/>
      </w:pPr>
      <w:r>
        <w:rPr>
          <w:rFonts w:ascii="Calibri" w:hAnsi="Calibri" w:eastAsia="微软雅黑"/>
          <w:b/>
          <w:color w:val="6A4A31"/>
        </w:rPr>
        <w:t>智鉴中枢：AI 辅助鉴赏与结构化报告</w:t>
      </w:r>
    </w:p>
    <w:p w14:paraId="4E325514">
      <w:pPr>
        <w:spacing w:after="120"/>
        <w:jc w:val="center"/>
      </w:pPr>
      <w:r>
        <w:drawing>
          <wp:inline distT="0" distB="0" distL="0" distR="0">
            <wp:extent cx="2476500" cy="2926080"/>
            <wp:effectExtent l="0" t="0" r="0" b="0"/>
            <wp:docPr id="113" name="05-intelligence-appraisal-full.png" descr="智鉴中枢：AI 辅助鉴赏与结构化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05-intelligence-appraisal-full.png" descr="智鉴中枢：AI 辅助鉴赏与结构化报告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7104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CADE">
      <w:pPr>
        <w:pStyle w:val="4"/>
        <w:spacing w:after="120" w:line="360" w:lineRule="auto"/>
        <w:jc w:val="center"/>
      </w:pPr>
      <w:r>
        <w:rPr>
          <w:rFonts w:ascii="Calibri" w:hAnsi="Calibri" w:eastAsia="微软雅黑"/>
          <w:b/>
          <w:color w:val="6A4A31"/>
        </w:rPr>
        <w:t>智鉴中枢：柴烧知识问答与参考依据标签</w:t>
      </w:r>
    </w:p>
    <w:p w14:paraId="7F676414">
      <w:pPr>
        <w:spacing w:after="120"/>
        <w:jc w:val="center"/>
      </w:pPr>
      <w:r>
        <w:drawing>
          <wp:inline distT="0" distB="0" distL="0" distR="0">
            <wp:extent cx="3009265" cy="2926080"/>
            <wp:effectExtent l="0" t="0" r="0" b="0"/>
            <wp:docPr id="114" name="06-intelligence-qa-full.png" descr="智鉴中枢：柴烧知识问答与参考依据标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06-intelligence-qa-full.png" descr="智鉴中枢：柴烧知识问答与参考依据标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682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3E22">
      <w:pPr>
        <w:pStyle w:val="4"/>
        <w:spacing w:after="120" w:line="360" w:lineRule="auto"/>
        <w:jc w:val="center"/>
      </w:pPr>
      <w:r>
        <w:rPr>
          <w:rFonts w:ascii="Calibri" w:hAnsi="Calibri" w:eastAsia="微软雅黑"/>
          <w:b/>
          <w:color w:val="6A4A31"/>
        </w:rPr>
        <w:t>文创商城：商品浏览、详情和购物车链路</w:t>
      </w:r>
    </w:p>
    <w:p w14:paraId="3AD41EAE">
      <w:pPr>
        <w:spacing w:after="120"/>
        <w:jc w:val="center"/>
      </w:pPr>
      <w:r>
        <w:drawing>
          <wp:inline distT="0" distB="0" distL="0" distR="0">
            <wp:extent cx="2688590" cy="2926080"/>
            <wp:effectExtent l="0" t="0" r="0" b="0"/>
            <wp:docPr id="115" name="10-shop-full.png" descr="文创商城：商品浏览、详情和购物车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10-shop-full.png" descr="文创商城：商品浏览、详情和购物车链路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893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B18E">
      <w:pPr>
        <w:pStyle w:val="4"/>
        <w:spacing w:after="120" w:line="360" w:lineRule="auto"/>
        <w:jc w:val="center"/>
      </w:pPr>
      <w:r>
        <w:rPr>
          <w:rFonts w:ascii="Calibri" w:hAnsi="Calibri" w:eastAsia="微软雅黑"/>
          <w:b/>
          <w:color w:val="6A4A31"/>
        </w:rPr>
        <w:t>社区广场：活动纪实、心得发布与内容沉淀</w:t>
      </w:r>
    </w:p>
    <w:p w14:paraId="16D1347B">
      <w:pPr>
        <w:spacing w:after="120"/>
        <w:jc w:val="center"/>
      </w:pPr>
      <w:r>
        <w:drawing>
          <wp:inline distT="0" distB="0" distL="0" distR="0">
            <wp:extent cx="4008755" cy="2926080"/>
            <wp:effectExtent l="0" t="0" r="0" b="0"/>
            <wp:docPr id="116" name="11-community-full.png" descr="社区广场：活动纪实、心得发布与内容沉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11-community-full.png" descr="社区广场：活动纪实、心得发布与内容沉淀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9092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3CF1">
      <w:pPr>
        <w:pStyle w:val="2"/>
        <w:spacing w:after="120" w:line="360" w:lineRule="auto"/>
      </w:pPr>
      <w:r>
        <w:rPr>
          <w:rFonts w:ascii="Calibri" w:hAnsi="Calibri" w:eastAsia="微软雅黑"/>
        </w:rPr>
        <w:t>十三、实施现状与后续规划</w:t>
      </w:r>
    </w:p>
    <w:tbl>
      <w:tblPr>
        <w:tblStyle w:val="7"/>
        <w:tblW w:w="0" w:type="auto"/>
        <w:tblInd w:w="0" w:type="dxa"/>
        <w:tblBorders>
          <w:top w:val="single" w:color="B08A49" w:sz="6" w:space="0"/>
          <w:left w:val="single" w:color="D7C6A2" w:sz="6" w:space="0"/>
          <w:bottom w:val="single" w:color="D7C6A2" w:sz="6" w:space="0"/>
          <w:right w:val="single" w:color="D7C6A2" w:sz="6" w:space="0"/>
          <w:insideH w:val="single" w:color="E6D7BA" w:sz="4" w:space="0"/>
          <w:insideV w:val="single" w:color="E6D7BA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100"/>
      </w:tblGrid>
      <w:tr w14:paraId="00872201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900" w:type="dxa"/>
            <w:shd w:val="clear" w:color="auto" w:fill="F4EADB"/>
          </w:tcPr>
          <w:p w14:paraId="1A47854B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阶段</w:t>
            </w:r>
          </w:p>
        </w:tc>
        <w:tc>
          <w:tcPr>
            <w:tcW w:w="7100" w:type="dxa"/>
            <w:shd w:val="clear" w:color="auto" w:fill="F4EADB"/>
          </w:tcPr>
          <w:p w14:paraId="2AC6D474">
            <w:pPr>
              <w:pStyle w:val="9"/>
              <w:spacing w:after="40" w:line="360" w:lineRule="auto"/>
            </w:pPr>
            <w:r>
              <w:rPr>
                <w:rFonts w:ascii="Calibri" w:hAnsi="Calibri" w:eastAsia="微软雅黑"/>
                <w:b/>
              </w:rPr>
              <w:t>已完成/建议方向</w:t>
            </w:r>
          </w:p>
        </w:tc>
      </w:tr>
      <w:tr w14:paraId="2B3365AD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900" w:type="dxa"/>
          </w:tcPr>
          <w:p w14:paraId="379263A7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P0 信息架构</w:t>
            </w:r>
          </w:p>
        </w:tc>
        <w:tc>
          <w:tcPr>
            <w:tcW w:w="7100" w:type="dxa"/>
          </w:tcPr>
          <w:p w14:paraId="4BFD1CF5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已完成 /ceramics 路由聚合、首页、导览、藏品、智鉴、关于、社区、商城、后台等页面域拆分。</w:t>
            </w:r>
          </w:p>
        </w:tc>
      </w:tr>
      <w:tr w14:paraId="36625513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900" w:type="dxa"/>
          </w:tcPr>
          <w:p w14:paraId="1DC6DF7F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P1 核心链路</w:t>
            </w:r>
          </w:p>
        </w:tc>
        <w:tc>
          <w:tcPr>
            <w:tcW w:w="7100" w:type="dxa"/>
          </w:tcPr>
          <w:p w14:paraId="3F290908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已完成登录、藏品兑换、收藏、社区发布、商城下单、AI 问答/鉴赏、后台管理等主要能力。</w:t>
            </w:r>
          </w:p>
        </w:tc>
      </w:tr>
      <w:tr w14:paraId="36D1425A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900" w:type="dxa"/>
          </w:tcPr>
          <w:p w14:paraId="53F76110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P2 稳定性</w:t>
            </w:r>
          </w:p>
        </w:tc>
        <w:tc>
          <w:tcPr>
            <w:tcW w:w="7100" w:type="dxa"/>
          </w:tcPr>
          <w:p w14:paraId="6A38E8BB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已具备连接状态提示、超时降级、本地知识回退、缓存和移动端适配；建议继续补齐自动化测试与监控。</w:t>
            </w:r>
          </w:p>
        </w:tc>
      </w:tr>
      <w:tr w14:paraId="74A9E7D1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900" w:type="dxa"/>
          </w:tcPr>
          <w:p w14:paraId="20D8397A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P3 运营深化</w:t>
            </w:r>
          </w:p>
        </w:tc>
        <w:tc>
          <w:tcPr>
            <w:tcW w:w="7100" w:type="dxa"/>
          </w:tcPr>
          <w:p w14:paraId="129ADBE2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建议引入活动批次、用户行为统计、导览路径分析、藏品完成率看板和内容审核流程。</w:t>
            </w:r>
          </w:p>
        </w:tc>
      </w:tr>
      <w:tr w14:paraId="750B527A">
        <w:tblPrEx>
          <w:tblBorders>
            <w:top w:val="single" w:color="B08A49" w:sz="6" w:space="0"/>
            <w:left w:val="single" w:color="D7C6A2" w:sz="6" w:space="0"/>
            <w:bottom w:val="single" w:color="D7C6A2" w:sz="6" w:space="0"/>
            <w:right w:val="single" w:color="D7C6A2" w:sz="6" w:space="0"/>
            <w:insideH w:val="single" w:color="E6D7BA" w:sz="4" w:space="0"/>
            <w:insideV w:val="single" w:color="E6D7BA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900" w:type="dxa"/>
          </w:tcPr>
          <w:p w14:paraId="1FABE29D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P4 安全合规</w:t>
            </w:r>
          </w:p>
        </w:tc>
        <w:tc>
          <w:tcPr>
            <w:tcW w:w="7100" w:type="dxa"/>
          </w:tcPr>
          <w:p w14:paraId="00AB09DB">
            <w:pPr>
              <w:pStyle w:val="10"/>
              <w:spacing w:after="40" w:line="360" w:lineRule="auto"/>
            </w:pPr>
            <w:r>
              <w:rPr>
                <w:rFonts w:ascii="Calibri" w:hAnsi="Calibri" w:eastAsia="微软雅黑"/>
              </w:rPr>
              <w:t>建议将敏感密钥迁移到环境变量或配置中心，完善权限分级、上传校验、日志脱敏和备份策略。</w:t>
            </w:r>
          </w:p>
        </w:tc>
      </w:tr>
    </w:tbl>
    <w:p w14:paraId="0B585B53">
      <w:pPr>
        <w:spacing w:after="120" w:line="360" w:lineRule="auto"/>
      </w:pPr>
    </w:p>
    <w:p w14:paraId="7893B02E">
      <w:pPr>
        <w:pStyle w:val="2"/>
        <w:spacing w:after="120" w:line="360" w:lineRule="auto"/>
      </w:pPr>
      <w:r>
        <w:rPr>
          <w:rFonts w:ascii="Calibri" w:hAnsi="Calibri" w:eastAsia="微软雅黑"/>
        </w:rPr>
        <w:t>十四、风险边界与合规说明</w:t>
      </w:r>
    </w:p>
    <w:p w14:paraId="73396B79">
      <w:pPr>
        <w:pStyle w:val="3"/>
        <w:spacing w:after="120" w:line="360" w:lineRule="auto"/>
      </w:pPr>
      <w:r>
        <w:rPr>
          <w:rFonts w:ascii="Calibri" w:hAnsi="Calibri" w:eastAsia="微软雅黑"/>
        </w:rPr>
        <w:t>• AI 辅助鉴赏仅用于科普学习和工艺理解，不应作为真伪、年代、价格、收藏价值或投资价值判断依据。</w:t>
      </w:r>
    </w:p>
    <w:p w14:paraId="47895D96">
      <w:pPr>
        <w:pStyle w:val="3"/>
        <w:spacing w:after="120" w:line="360" w:lineRule="auto"/>
      </w:pPr>
      <w:r>
        <w:rPr>
          <w:rFonts w:ascii="Calibri" w:hAnsi="Calibri" w:eastAsia="微软雅黑"/>
        </w:rPr>
        <w:t>• 数字藏品定位为文化传播和活动纪念凭证，项目文档中应明确非金融化、不可炒作、不可承诺收益。</w:t>
      </w:r>
    </w:p>
    <w:p w14:paraId="538871C3">
      <w:pPr>
        <w:pStyle w:val="3"/>
        <w:spacing w:after="120" w:line="360" w:lineRule="auto"/>
      </w:pPr>
      <w:r>
        <w:rPr>
          <w:rFonts w:ascii="Calibri" w:hAnsi="Calibri" w:eastAsia="微软雅黑"/>
        </w:rPr>
        <w:t>• 源码配置中涉及数据库、对象存储和 AI 服务等敏感配置，正式部署应使用环境变量、配置中心或密钥管理服务，避免明文提交。</w:t>
      </w:r>
    </w:p>
    <w:p w14:paraId="5D193D0B">
      <w:pPr>
        <w:pStyle w:val="3"/>
        <w:spacing w:after="120" w:line="360" w:lineRule="auto"/>
      </w:pPr>
      <w:r>
        <w:rPr>
          <w:rFonts w:ascii="Calibri" w:hAnsi="Calibri" w:eastAsia="微软雅黑"/>
        </w:rPr>
        <w:t>• 用户上传图片、社区内容和商城订单涉及个人信息与内容安全，后续应补充隐私政策、内容审核、上传限制和日志脱敏机制。</w:t>
      </w:r>
    </w:p>
    <w:p w14:paraId="1153EAC3">
      <w:pPr>
        <w:pStyle w:val="3"/>
        <w:spacing w:after="120" w:line="360" w:lineRule="auto"/>
      </w:pPr>
      <w:r>
        <w:rPr>
          <w:rFonts w:ascii="Calibri" w:hAnsi="Calibri" w:eastAsia="微软雅黑"/>
        </w:rPr>
        <w:t>• 非遗知识、图片、模型和文案素材需保留来源说明与授权记录，避免版权争议。</w:t>
      </w:r>
    </w:p>
    <w:p w14:paraId="1649598D">
      <w:r>
        <w:t>3. 第三方资源与基础组件说明：项目开发过程中使用了 Vue、Spring Boot、MySQL、FAISS、model-viewer 等开源框架或基础组件，并接入大模型、嵌入模型、对象存储等外部技术服务。这些内容属于通用技术支撑，不改变项目整体方案、业务流程和场景设计的原创性。</w:t>
      </w:r>
    </w:p>
    <w:p w14:paraId="311E289B">
      <w:r>
        <w:t>2. 原创性说明：本项目为团队围绕柴烧陶瓷非遗数字化传播、智能导览、RAG 知识问答、AI 辅助鉴赏、数字藏品兑换和运营管理场景自主设计与开发的原创项目，不是在其他现成项目基础上的简单改造或套壳。项目中的页面结构、业务闭环、知识库组织、前后端接口和非遗场景化功能均围绕“窑创未来”主题进行定制实现。</w:t>
      </w:r>
    </w:p>
    <w:p w14:paraId="22B7DBF2">
      <w:r>
        <w:t>1. 发表与获奖情况：截至本文档编写日期，本项目尚未以完整作品形式公开发表，也未获得正式赛事奖项或机构评奖奖项。后续如参加比赛、展览、路演或获得相关荣誉，应在作品介绍文档中及时补充奖项名称、主办单位、获奖时间和证明材料。</w:t>
      </w:r>
    </w:p>
    <w:p w14:paraId="610F73EA">
      <w:r>
        <w:rPr>
          <w:b/>
        </w:rPr>
        <w:t>十五、发表、获奖与原创性说明</w:t>
      </w:r>
    </w:p>
    <w:p w14:paraId="338C13D0">
      <w:pPr>
        <w:pStyle w:val="2"/>
        <w:spacing w:after="120" w:line="360" w:lineRule="auto"/>
      </w:pPr>
      <w:r>
        <w:rPr>
          <w:rFonts w:ascii="Calibri" w:hAnsi="Calibri" w:eastAsia="微软雅黑"/>
        </w:rPr>
        <w:t>十六、结语</w:t>
      </w:r>
    </w:p>
    <w:p w14:paraId="55055EB6">
      <w:pPr>
        <w:pStyle w:val="3"/>
        <w:spacing w:after="120" w:line="360" w:lineRule="auto"/>
      </w:pPr>
      <w:r>
        <w:rPr>
          <w:rFonts w:ascii="Calibri" w:hAnsi="Calibri" w:eastAsia="微软雅黑"/>
        </w:rPr>
        <w:t>“窑创未来”以柴烧陶瓷非遗为内容核心，以数字导览、智能问答、AI 鉴赏、数字藏品、社区互动和文创商城为产品抓手，构建了一个兼具展示、学习、运营和转化能力的综合平台。它的价值不只是把非遗内容搬到线上，而是把线下经验转化为可解释知识，把一次性到访转化为可沉淀记录，把传统工艺传播转化为可持续运营的数字资产。</w:t>
      </w:r>
    </w:p>
    <w:sectPr>
      <w:pgSz w:w="11906" w:h="16838"/>
      <w:pgMar w:top="1440" w:right="1080" w:bottom="10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D8338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Calibri" w:hAnsi="Calibri" w:eastAsia="微软雅黑"/>
      <w:color w:val="333333"/>
      <w:sz w:val="21"/>
      <w:szCs w:val="21"/>
    </w:rPr>
  </w:style>
  <w:style w:type="paragraph" w:styleId="2">
    <w:name w:val="heading 1"/>
    <w:basedOn w:val="1"/>
    <w:next w:val="3"/>
    <w:qFormat/>
    <w:uiPriority w:val="0"/>
    <w:pPr>
      <w:keepNext/>
      <w:spacing w:before="320" w:after="160"/>
      <w:outlineLvl w:val="0"/>
    </w:pPr>
    <w:rPr>
      <w:rFonts w:ascii="Calibri" w:eastAsia="微软雅黑"/>
      <w:b/>
      <w:color w:val="6A4A31"/>
      <w:sz w:val="30"/>
      <w:szCs w:val="3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line="380" w:lineRule="auto"/>
    </w:pPr>
    <w:rPr>
      <w:rFonts w:ascii="Calibri" w:eastAsia="微软雅黑"/>
      <w:color w:val="333333"/>
      <w:sz w:val="21"/>
      <w:szCs w:val="21"/>
    </w:rPr>
  </w:style>
  <w:style w:type="paragraph" w:styleId="4">
    <w:name w:val="caption"/>
    <w:basedOn w:val="1"/>
    <w:qFormat/>
    <w:uiPriority w:val="0"/>
    <w:pPr>
      <w:spacing w:before="160" w:after="80"/>
    </w:pPr>
    <w:rPr>
      <w:rFonts w:ascii="Calibri" w:eastAsia="微软雅黑"/>
      <w:b/>
      <w:color w:val="6A4A31"/>
      <w:sz w:val="19"/>
      <w:szCs w:val="19"/>
    </w:rPr>
  </w:style>
  <w:style w:type="paragraph" w:styleId="5">
    <w:name w:val="Subtitle"/>
    <w:basedOn w:val="1"/>
    <w:qFormat/>
    <w:uiPriority w:val="0"/>
    <w:rPr>
      <w:rFonts w:ascii="Calibri" w:eastAsia="微软雅黑"/>
      <w:color w:val="6A4A31"/>
      <w:sz w:val="28"/>
      <w:szCs w:val="28"/>
    </w:rPr>
  </w:style>
  <w:style w:type="paragraph" w:styleId="6">
    <w:name w:val="Title"/>
    <w:basedOn w:val="1"/>
    <w:qFormat/>
    <w:uiPriority w:val="0"/>
    <w:rPr>
      <w:rFonts w:ascii="Calibri" w:eastAsia="微软雅黑"/>
      <w:b/>
      <w:color w:val="4B3829"/>
      <w:sz w:val="56"/>
      <w:szCs w:val="56"/>
    </w:rPr>
  </w:style>
  <w:style w:type="paragraph" w:customStyle="1" w:styleId="9">
    <w:name w:val="Table Header"/>
    <w:basedOn w:val="1"/>
    <w:uiPriority w:val="0"/>
    <w:rPr>
      <w:rFonts w:ascii="Calibri" w:eastAsia="微软雅黑"/>
      <w:b/>
      <w:color w:val="4B3829"/>
      <w:sz w:val="19"/>
      <w:szCs w:val="19"/>
    </w:rPr>
  </w:style>
  <w:style w:type="paragraph" w:customStyle="1" w:styleId="10">
    <w:name w:val="Table Text"/>
    <w:basedOn w:val="1"/>
    <w:qFormat/>
    <w:uiPriority w:val="0"/>
    <w:rPr>
      <w:rFonts w:ascii="Calibri" w:eastAsia="微软雅黑"/>
      <w:color w:val="333333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3054</Words>
  <Characters>3486</Characters>
  <TotalTime>0</TotalTime>
  <ScaleCrop>false</ScaleCrop>
  <LinksUpToDate>false</LinksUpToDate>
  <CharactersWithSpaces>3615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2026-05-28T13:27:00Z</dcterms:created>
  <dc:creator>Codex</dc:creator>
  <cp:lastModifiedBy>WPS_1584607199</cp:lastModifiedBy>
  <dcterms:modified xsi:type="dcterms:W3CDTF">2026-05-29T15:06:17Z</dcterms:modified>
  <dc:title>窑创未来项目介绍文档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eyJoZGlkIjoiYzE5ZmViNmJkNzA3OWJmNjljZWM3MjJkYTc5OTAxMDUiLCJ1c2VySWQiOiI5MTQ4OTM5NzkifQ==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70C656A8602F4A39B7D262127B63E040_12</vt:lpwstr>
  </property>
</Properties>
</file>