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  <w:jc w:val="left"/>
      </w:pPr>
      <w:r>
        <w:drawing>
          <wp:inline distT="0" distB="0" distL="0" distR="0">
            <wp:extent cx="22860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3CC821" w:sz="12"/>
        </w:pBdr>
        <w:spacing w:after="600" w:before="0"/>
      </w:pPr>
    </w:p>
    <w:p>
      <w:pPr>
        <w:spacing w:after="120" w:before="600"/>
        <w:jc w:val="left"/>
      </w:pPr>
      <w:r>
        <w:rPr>
          <w:rFonts w:ascii="Arial" w:cs="Arial" w:eastAsia="Arial" w:hAnsi="Arial"/>
          <w:b/>
          <w:bCs/>
          <w:color w:val="1F9B15"/>
          <w:sz w:val="18"/>
          <w:szCs w:val="18"/>
        </w:rPr>
        <w:t xml:space="preserve">DOCUMENTATION TECHNIQUE INTERNE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2A3845"/>
          <w:sz w:val="64"/>
          <w:szCs w:val="64"/>
        </w:rPr>
        <w:t xml:space="preserve">Guide de Résolution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3CC821"/>
          <w:sz w:val="64"/>
          <w:szCs w:val="64"/>
        </w:rPr>
        <w:t xml:space="preserve">GeniusPay</w:t>
      </w:r>
    </w:p>
    <w:p>
      <w:pPr>
        <w:spacing w:after="900" w:before="0"/>
        <w:jc w:val="left"/>
      </w:pPr>
      <w:r>
        <w:rPr>
          <w:rFonts w:ascii="Arial" w:cs="Arial" w:eastAsia="Arial" w:hAnsi="Arial"/>
          <w:color w:val="5A6A78"/>
          <w:sz w:val="26"/>
          <w:szCs w:val="26"/>
        </w:rPr>
        <w:t xml:space="preserve">Livre technique pour les prochaines intégrations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3CC821" w:sz="24"/>
              <w:bottom w:val="none"/>
              <w:right w:val="none"/>
            </w:tcBorders>
            <w:shd w:fill="2A3845" w:val="clear"/>
            <w:tcMar>
              <w:top w:type="dxa" w:w="280"/>
              <w:left w:type="dxa" w:w="380"/>
              <w:bottom w:type="dxa" w:w="280"/>
              <w:right w:type="dxa" w:w="3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Contexte du problème résolu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A8B8C4"/>
                <w:sz w:val="20"/>
                <w:szCs w:val="20"/>
              </w:rPr>
              <w:t xml:space="preserve">Le paiement GeniusPay fonctionnait, le webhook confirmait le paiement, l'utilisateur WordPress était créé, les emails partaient — mais le navigateur du client restait bloqué sur la page GeniusPay au lieu de revenir vers registration-success.php.</w:t>
            </w:r>
          </w:p>
          <w:p>
            <w:pPr>
              <w:spacing w:before="100"/>
              <w:jc w:val="both"/>
            </w:pPr>
            <w:r>
              <w:rPr>
                <w:rFonts w:ascii="Arial" w:cs="Arial" w:eastAsia="Arial" w:hAnsi="Arial"/>
                <w:color w:val="7A9AB0"/>
                <w:sz w:val="20"/>
                <w:szCs w:val="20"/>
              </w:rPr>
              <w:t xml:space="preserve">Ce guide documente la cause racine, les corrections appliquées, et l'architecture recommandée pour toute future intégration de paiement.</w:t>
            </w:r>
          </w:p>
        </w:tc>
      </w:tr>
    </w:tbl>
    <w:p>
      <w:pPr>
        <w:spacing w:after="0" w:before="600"/>
      </w:pPr>
    </w:p>
    <w:p>
      <w:pPr>
        <w:jc w:val="left"/>
      </w:pPr>
      <w:r>
        <w:rPr>
          <w:rFonts w:ascii="Arial" w:cs="Arial" w:eastAsia="Arial" w:hAnsi="Arial"/>
          <w:color w:val="5A6A78"/>
          <w:sz w:val="18"/>
          <w:szCs w:val="18"/>
        </w:rPr>
        <w:t xml:space="preserve">Document confidentiel  •  </w:t>
      </w:r>
      <w:r>
        <w:rPr>
          <w:rFonts w:ascii="Arial" w:cs="Arial" w:eastAsia="Arial" w:hAnsi="Arial"/>
          <w:b/>
          <w:bCs/>
          <w:color w:val="3CC821"/>
          <w:sz w:val="18"/>
          <w:szCs w:val="18"/>
        </w:rPr>
        <w:t xml:space="preserve">Version 1.0 — 2025</w:t>
      </w:r>
      <w:r>
        <w:rPr>
          <w:rFonts w:ascii="Arial" w:cs="Arial" w:eastAsia="Arial" w:hAnsi="Arial"/>
          <w:color w:val="5A6A78"/>
          <w:sz w:val="18"/>
          <w:szCs w:val="18"/>
        </w:rPr>
        <w:t xml:space="preserve">  •  WSCALE</w:t>
      </w:r>
    </w:p>
    <w:p>
      <w:pPr>
        <w:spacing w:after="0" w:before="0"/>
      </w:pPr>
      <w:r>
        <w:br w:type="page"/>
      </w:r>
    </w:p>
    <w:p>
      <w:pPr>
        <w:spacing w:after="360" w:before="0"/>
        <w:jc w:val="left"/>
      </w:pPr>
      <w:r>
        <w:drawing>
          <wp:inline distT="0" distB="0" distL="0" distR="0">
            <wp:extent cx="1524000" cy="35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3CC821" w:sz="8"/>
        </w:pBdr>
        <w:spacing w:after="60" w:before="60"/>
      </w:pPr>
    </w:p>
    <w:p>
      <w:pPr>
        <w:spacing w:after="320" w:before="200"/>
      </w:pPr>
      <w:r>
        <w:rPr>
          <w:rFonts w:ascii="Arial" w:cs="Arial" w:eastAsia="Arial" w:hAnsi="Arial"/>
          <w:b/>
          <w:bCs/>
          <w:color w:val="2A3845"/>
          <w:sz w:val="32"/>
          <w:szCs w:val="32"/>
        </w:rPr>
        <w:t xml:space="preserve">Table des Matières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826"/>
        <w:gridCol w:w="6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3A4F5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E538"/>
                <w:sz w:val="19"/>
                <w:szCs w:val="19"/>
              </w:rPr>
              <w:t xml:space="preserve">N°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3A4F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1E538"/>
                <w:sz w:val="19"/>
                <w:szCs w:val="19"/>
              </w:rPr>
              <w:t xml:space="preserve">Chapitre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3A4F5E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E538"/>
                <w:sz w:val="19"/>
                <w:szCs w:val="19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A3845"/>
                <w:sz w:val="20"/>
                <w:szCs w:val="20"/>
              </w:rPr>
              <w:t xml:space="preserve">Comprendre le Symptôme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A3845"/>
                <w:sz w:val="20"/>
                <w:szCs w:val="20"/>
              </w:rPr>
              <w:t xml:space="preserve">Ce qui Fonctionnait Déjà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A3845"/>
                <w:sz w:val="20"/>
                <w:szCs w:val="20"/>
              </w:rPr>
              <w:t xml:space="preserve">La Cause Racine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A3845"/>
                <w:sz w:val="20"/>
                <w:szCs w:val="20"/>
              </w:rPr>
              <w:t xml:space="preserve">Les Corrections Appliquées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A3845"/>
                <w:sz w:val="20"/>
                <w:szCs w:val="20"/>
              </w:rPr>
              <w:t xml:space="preserve">Pourquoi le Webhook Reste Indispensable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A3845"/>
                <w:sz w:val="20"/>
                <w:szCs w:val="20"/>
              </w:rPr>
              <w:t xml:space="preserve">Architecture Recommandée pour les Prochaines Intégrations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A3845"/>
                <w:sz w:val="20"/>
                <w:szCs w:val="20"/>
              </w:rPr>
              <w:t xml:space="preserve">Checklist Avant Mise en Production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A3845"/>
                <w:sz w:val="20"/>
                <w:szCs w:val="20"/>
              </w:rPr>
              <w:t xml:space="preserve">Leçons Apprises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A3845"/>
                <w:sz w:val="20"/>
                <w:szCs w:val="20"/>
              </w:rPr>
              <w:t xml:space="preserve">Diagnostic si le Problème Revient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8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360" w:before="0"/>
        <w:jc w:val="left"/>
      </w:pPr>
      <w:r>
        <w:drawing>
          <wp:inline distT="0" distB="0" distL="0" distR="0">
            <wp:extent cx="1524000" cy="35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3CC821" w:sz="8"/>
        </w:pBdr>
        <w:spacing w:after="60" w:before="60"/>
      </w:pPr>
    </w:p>
    <w:p>
      <w:pPr>
        <w:pBdr>
          <w:left w:val="single" w:color="3CC821" w:sz="20" w:space="10"/>
        </w:pBdr>
        <w:spacing w:after="200" w:before="480"/>
        <w:ind w:left="220"/>
      </w:pPr>
      <w:r>
        <w:rPr>
          <w:rFonts w:ascii="Arial" w:cs="Arial" w:eastAsia="Arial" w:hAnsi="Arial"/>
          <w:b/>
          <w:bCs/>
          <w:color w:val="3CC821"/>
          <w:sz w:val="30"/>
          <w:szCs w:val="30"/>
        </w:rPr>
        <w:t xml:space="preserve">Chapitre 1  </w:t>
      </w:r>
      <w:r>
        <w:rPr>
          <w:rFonts w:ascii="Arial" w:cs="Arial" w:eastAsia="Arial" w:hAnsi="Arial"/>
          <w:b/>
          <w:bCs/>
          <w:color w:val="2A3845"/>
          <w:sz w:val="30"/>
          <w:szCs w:val="30"/>
        </w:rPr>
        <w:t xml:space="preserve">Comprendre le Symptôme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Le flux attendu lors d'un paiement GeniusPay était le suivant 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/>
              <w:left w:val="single" w:color="3CC821" w:sz="16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L'utilisateur remplit le formulaire d'inscription.</w:t>
            </w:r>
          </w:p>
        </w:tc>
      </w:tr>
      <w:tr>
        <w:tc>
          <w:tcPr>
            <w:tcW w:type="dxa" w:w="560"/>
            <w:tcBorders>
              <w:top w:val="none"/>
              <w:left w:val="single" w:color="3CC821" w:sz="16"/>
              <w:bottom w:val="single" w:color="D0D8E0" w:sz="1"/>
              <w:right w:val="none"/>
            </w:tcBorders>
            <w:shd w:fill="E8EC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E8EC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Le site crée une inscription temporaire.</w:t>
            </w:r>
          </w:p>
        </w:tc>
      </w:tr>
      <w:tr>
        <w:tc>
          <w:tcPr>
            <w:tcW w:type="dxa" w:w="560"/>
            <w:tcBorders>
              <w:top w:val="none"/>
              <w:left w:val="single" w:color="3CC821" w:sz="16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Le site appelle GeniusPay via POST /api/v1/merchant/payments.</w:t>
            </w:r>
          </w:p>
        </w:tc>
      </w:tr>
      <w:tr>
        <w:tc>
          <w:tcPr>
            <w:tcW w:type="dxa" w:w="560"/>
            <w:tcBorders>
              <w:top w:val="none"/>
              <w:left w:val="single" w:color="3CC821" w:sz="16"/>
              <w:bottom w:val="single" w:color="D0D8E0" w:sz="1"/>
              <w:right w:val="none"/>
            </w:tcBorders>
            <w:shd w:fill="E8EC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E8EC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GeniusPay retourne une URL de paiement.</w:t>
            </w:r>
          </w:p>
        </w:tc>
      </w:tr>
      <w:tr>
        <w:tc>
          <w:tcPr>
            <w:tcW w:type="dxa" w:w="560"/>
            <w:tcBorders>
              <w:top w:val="none"/>
              <w:left w:val="single" w:color="3CC821" w:sz="16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L'utilisateur paie sur pay.genius.ci.</w:t>
            </w:r>
          </w:p>
        </w:tc>
      </w:tr>
      <w:tr>
        <w:tc>
          <w:tcPr>
            <w:tcW w:type="dxa" w:w="560"/>
            <w:tcBorders>
              <w:top w:val="none"/>
              <w:left w:val="single" w:color="3CC821" w:sz="16"/>
              <w:bottom w:val="single" w:color="D0D8E0" w:sz="1"/>
              <w:right w:val="none"/>
            </w:tcBorders>
            <w:shd w:fill="E8EC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E8EC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GeniusPay renvoie le navigateur vers registration-success.php.</w:t>
            </w:r>
          </w:p>
        </w:tc>
      </w:tr>
      <w:tr>
        <w:tc>
          <w:tcPr>
            <w:tcW w:type="dxa" w:w="560"/>
            <w:tcBorders>
              <w:top w:val="none"/>
              <w:left w:val="single" w:color="3CC821" w:sz="16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Le site affiche la confirmation finale.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EF9F27" w:sz="16"/>
              <w:bottom w:val="none"/>
              <w:right w:val="none"/>
            </w:tcBorders>
            <w:shd w:fill="FEF9F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Flux réel observé — le problème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✓  Le paiement était bien accepté.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✓  GeniusPay envoyait bien le webhook serveur.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✓  Le compte WordPress était créé.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✓  Les emails étaient envoyés.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✗  Mais le navigateur restait bloqué sur pay.genius.ci.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Conclusion : le problème n'était pas le paiement lui-même — c'était la redirection frontale après paiement.</w:t>
            </w:r>
          </w:p>
        </w:tc>
      </w:tr>
    </w:tbl>
    <w:p>
      <w:pPr>
        <w:spacing w:after="0" w:before="320"/>
      </w:pPr>
    </w:p>
    <w:p>
      <w:pPr>
        <w:pBdr>
          <w:left w:val="single" w:color="3CC821" w:sz="20" w:space="10"/>
        </w:pBdr>
        <w:spacing w:after="200" w:before="480"/>
        <w:ind w:left="220"/>
      </w:pPr>
      <w:r>
        <w:rPr>
          <w:rFonts w:ascii="Arial" w:cs="Arial" w:eastAsia="Arial" w:hAnsi="Arial"/>
          <w:b/>
          <w:bCs/>
          <w:color w:val="3CC821"/>
          <w:sz w:val="30"/>
          <w:szCs w:val="30"/>
        </w:rPr>
        <w:t xml:space="preserve">Chapitre 2  </w:t>
      </w:r>
      <w:r>
        <w:rPr>
          <w:rFonts w:ascii="Arial" w:cs="Arial" w:eastAsia="Arial" w:hAnsi="Arial"/>
          <w:b/>
          <w:bCs/>
          <w:color w:val="2A3845"/>
          <w:sz w:val="30"/>
          <w:szCs w:val="30"/>
        </w:rPr>
        <w:t xml:space="preserve">Ce qui Fonctionnait Déjà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Avant d'engager toute correction, les éléments suivants étaient validés et ne devaient pas être retouchés :</w:t>
      </w:r>
    </w:p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566"/>
      </w:tblGrid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L'appel à GeniusPay créait bien un paiement.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GeniusPay retournait une checkout_url valide.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L'utilisateur était redirigé vers GeniusPay.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Le webhook payment.success arrivait côté serveur.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La signature webhook était vérifiée.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L'inscription temporaire était finalisée.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L'utilisateur WordPress était créé.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Les emails d'identifiants et de confirmation étaient envoyés.</w:t>
            </w:r>
          </w:p>
        </w:tc>
      </w:tr>
    </w:tbl>
    <w:p>
      <w:pPr>
        <w:spacing w:after="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6A7A88"/>
          <w:sz w:val="22"/>
          <w:szCs w:val="22"/>
        </w:rPr>
        <w:t xml:space="preserve">Important : on ne devait pas réécrire toute l'intégration. Il fallait uniquement corriger la partie fragile du contrat entre le site et GeniusPay.</w:t>
      </w:r>
    </w:p>
    <w:p>
      <w:pPr>
        <w:spacing w:after="0" w:before="0"/>
      </w:pPr>
      <w:r>
        <w:br w:type="page"/>
      </w:r>
    </w:p>
    <w:p>
      <w:pPr>
        <w:spacing w:after="360" w:before="0"/>
        <w:jc w:val="left"/>
      </w:pPr>
      <w:r>
        <w:drawing>
          <wp:inline distT="0" distB="0" distL="0" distR="0">
            <wp:extent cx="1524000" cy="35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3CC821" w:sz="8"/>
        </w:pBdr>
        <w:spacing w:after="60" w:before="60"/>
      </w:pPr>
    </w:p>
    <w:p>
      <w:pPr>
        <w:pBdr>
          <w:left w:val="single" w:color="3CC821" w:sz="20" w:space="10"/>
        </w:pBdr>
        <w:spacing w:after="200" w:before="480"/>
        <w:ind w:left="220"/>
      </w:pPr>
      <w:r>
        <w:rPr>
          <w:rFonts w:ascii="Arial" w:cs="Arial" w:eastAsia="Arial" w:hAnsi="Arial"/>
          <w:b/>
          <w:bCs/>
          <w:color w:val="3CC821"/>
          <w:sz w:val="30"/>
          <w:szCs w:val="30"/>
        </w:rPr>
        <w:t xml:space="preserve">Chapitre 3  </w:t>
      </w:r>
      <w:r>
        <w:rPr>
          <w:rFonts w:ascii="Arial" w:cs="Arial" w:eastAsia="Arial" w:hAnsi="Arial"/>
          <w:b/>
          <w:bCs/>
          <w:color w:val="2A3845"/>
          <w:sz w:val="30"/>
          <w:szCs w:val="30"/>
        </w:rPr>
        <w:t xml:space="preserve">La Cause Racine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Deux fragilités distinctes ont été identifiées dans l'intégration initiale :</w:t>
      </w:r>
    </w:p>
    <w:p>
      <w:pPr>
        <w:spacing w:after="0" w:before="18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A3845"/>
          <w:sz w:val="24"/>
          <w:szCs w:val="24"/>
        </w:rPr>
        <w:t xml:space="preserve">Fragilité 1 — Metadata construit mais non envoyé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Le service construisait bien un tableau $metadata, mais ne l'incluait pas dans le $payload transmis à GeniusPay. On avait :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9B15" w:sz="4"/>
              <w:left w:val="single" w:color="1F9B15" w:sz="12"/>
              <w:bottom w:val="single" w:color="D0D8E0" w:sz="1"/>
              <w:right w:val="none"/>
            </w:tcBorders>
            <w:shd w:fill="F0F4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$metadata = $this-&gt;normalizeMetadata($data['metadata'] ?? []);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$metadata['internal_reference'] = $internalReference;</w:t>
            </w:r>
          </w:p>
        </w:tc>
      </w:tr>
    </w:tbl>
    <w:p>
      <w:pPr>
        <w:spacing w:after="0" w:before="12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Mais le payload envoyé à GeniusPay ne contenait pas le champ :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9B15" w:sz="4"/>
              <w:left w:val="single" w:color="1F9B15" w:sz="12"/>
              <w:bottom w:val="single" w:color="D0D8E0" w:sz="1"/>
              <w:right w:val="none"/>
            </w:tcBorders>
            <w:shd w:fill="F0F4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'metadata' =&gt; $metadata</w:t>
            </w:r>
          </w:p>
        </w:tc>
      </w:tr>
    </w:tbl>
    <w:p>
      <w:pPr>
        <w:spacing w:after="0" w:before="12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Résultat : GeniusPay recevait bien success_url et error_url, mais le contexte métier nécessaire pour relier proprement le retour navigateur, le webhook et l'inscription locale était perdu.</w:t>
      </w:r>
    </w:p>
    <w:p>
      <w:pPr>
        <w:spacing w:after="0" w:before="2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A3845"/>
          <w:sz w:val="24"/>
          <w:szCs w:val="24"/>
        </w:rPr>
        <w:t xml:space="preserve">Fragilité 2 — Recherche par transaction_id prioritaire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Dans registration-success.php, la page cherchait l'inscription par transaction_id avant de chercher par registration_id. Or, après création du paiement, la transaction locale peut être écrasée ou remplacée par la référence GeniusPay.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3CC821" w:sz="16"/>
              <w:bottom w:val="none"/>
              <w:right w:val="none"/>
            </w:tcBorders>
            <w:shd w:fill="F0F9ED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9B15"/>
                <w:sz w:val="20"/>
                <w:szCs w:val="20"/>
              </w:rPr>
              <w:t xml:space="preserve">Règle fondamentale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Le lien de retour doit toujours contenir un identifiant stable local : registration_id.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Cet identifiant ne change pas au fil du flux de paiement.</w:t>
            </w:r>
          </w:p>
        </w:tc>
      </w:tr>
    </w:tbl>
    <w:p>
      <w:pPr>
        <w:spacing w:after="0" w:before="320"/>
      </w:pPr>
    </w:p>
    <w:p>
      <w:pPr>
        <w:pBdr>
          <w:left w:val="single" w:color="3CC821" w:sz="20" w:space="10"/>
        </w:pBdr>
        <w:spacing w:after="200" w:before="480"/>
        <w:ind w:left="220"/>
      </w:pPr>
      <w:r>
        <w:rPr>
          <w:rFonts w:ascii="Arial" w:cs="Arial" w:eastAsia="Arial" w:hAnsi="Arial"/>
          <w:b/>
          <w:bCs/>
          <w:color w:val="3CC821"/>
          <w:sz w:val="30"/>
          <w:szCs w:val="30"/>
        </w:rPr>
        <w:t xml:space="preserve">Chapitre 4  </w:t>
      </w:r>
      <w:r>
        <w:rPr>
          <w:rFonts w:ascii="Arial" w:cs="Arial" w:eastAsia="Arial" w:hAnsi="Arial"/>
          <w:b/>
          <w:bCs/>
          <w:color w:val="2A3845"/>
          <w:sz w:val="30"/>
          <w:szCs w:val="30"/>
        </w:rPr>
        <w:t xml:space="preserve">Les Corrections Appliquées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A3845"/>
          <w:sz w:val="24"/>
          <w:szCs w:val="24"/>
        </w:rPr>
        <w:t xml:space="preserve">Correction 1 — Envoi réel du Metadata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Dans src/Services/GeniusPayService.php, le payload contient désormais :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9B15" w:sz="4"/>
              <w:left w:val="single" w:color="1F9B15" w:sz="12"/>
              <w:bottom w:val="single" w:color="D0D8E0" w:sz="1"/>
              <w:right w:val="none"/>
            </w:tcBorders>
            <w:shd w:fill="F0F4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'metadata' =&gt; $metadata,</w:t>
            </w:r>
          </w:p>
        </w:tc>
      </w:tr>
    </w:tbl>
    <w:p>
      <w:pPr>
        <w:spacing w:after="0" w:before="12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Ce metadata devient une mémoire de sécurité partagée entre le navigateur, le webhook et la base locale :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9B15" w:sz="4"/>
              <w:left w:val="single" w:color="1F9B15" w:sz="12"/>
              <w:bottom w:val="single" w:color="D0D8E0" w:sz="1"/>
              <w:right w:val="none"/>
            </w:tcBorders>
            <w:shd w:fill="F0F4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    'registrationRef' =&gt; 'MEMBER_REGISTRATION_TEMP_123',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    'registration_id' =&gt; '123',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    'success_url'     =&gt; '...',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    'error_url'       =&gt; '...',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    'internal_reference' =&gt; 'AFR-...'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2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A3845"/>
          <w:sz w:val="24"/>
          <w:szCs w:val="24"/>
        </w:rPr>
        <w:t xml:space="preserve">Correction 2 — URLs de retour générées proprement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Dans MemberController.php, les URLs sont construites via UrlHelper et contiennent toujours l'identifiant local stable :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9B15" w:sz="4"/>
              <w:left w:val="single" w:color="1F9B15" w:sz="12"/>
              <w:bottom w:val="single" w:color="D0D8E0" w:sz="1"/>
              <w:right w:val="none"/>
            </w:tcBorders>
            <w:shd w:fill="F0F4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// Succès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registration-success.php?registration_id=123&amp;transaction_id=AFR-...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// Échec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registration-success.php?registration_id=123&amp;transaction_id=AFR-...&amp;status=failed</w:t>
            </w:r>
          </w:p>
        </w:tc>
      </w:tr>
    </w:tbl>
    <w:p>
      <w:pPr>
        <w:spacing w:after="0" w:before="2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A3845"/>
          <w:sz w:val="24"/>
          <w:szCs w:val="24"/>
        </w:rPr>
        <w:t xml:space="preserve">Correction 3 — Priorité à registration_id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Dans registration-success.php, la recherche applique désormais l'ordre correct :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9B15" w:sz="4"/>
              <w:left w:val="single" w:color="1F9B15" w:sz="12"/>
              <w:bottom w:val="single" w:color="D0D8E0" w:sz="1"/>
              <w:right w:val="none"/>
            </w:tcBorders>
            <w:shd w:fill="F0F4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if ($registrationId)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    $registration = $controller-&gt;getRegistrationById((int) $registrationId);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if (!$registration &amp;&amp; $transactionId)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    $registration = $controller-&gt;getRegistrationByTransaction($transactionId);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A3845"/>
          <w:sz w:val="24"/>
          <w:szCs w:val="24"/>
        </w:rPr>
        <w:t xml:space="preserve">Correction 4 — Sécurité anti-fraude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La page ne valide plus un paiement parce que l'URL contient ?status=completed. C'est volontaire.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EF9F27" w:sz="16"/>
              <w:bottom w:val="none"/>
              <w:right w:val="none"/>
            </w:tcBorders>
            <w:shd w:fill="FEF9F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Règle de sécurité — jamais valider depuis l'URL seule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✗  INTERDIT  :  if ($_GET['status'] === 'completed') { finalizeRegistration(); }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✓  CORRECT   :  if ($webhookConfirmed || $apiConfirmed || $registrationAlreadyCompleted)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                    { finalizeRegistration(); }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Un utilisateur peut modifier l'URL manuellement. Le navigateur ne doit JAMAIS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être la source de vérité financière.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360" w:before="0"/>
        <w:jc w:val="left"/>
      </w:pPr>
      <w:r>
        <w:drawing>
          <wp:inline distT="0" distB="0" distL="0" distR="0">
            <wp:extent cx="1524000" cy="35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3CC821" w:sz="8"/>
        </w:pBdr>
        <w:spacing w:after="60" w:before="60"/>
      </w:pPr>
    </w:p>
    <w:p>
      <w:pPr>
        <w:pBdr>
          <w:left w:val="single" w:color="3CC821" w:sz="20" w:space="10"/>
        </w:pBdr>
        <w:spacing w:after="200" w:before="480"/>
        <w:ind w:left="220"/>
      </w:pPr>
      <w:r>
        <w:rPr>
          <w:rFonts w:ascii="Arial" w:cs="Arial" w:eastAsia="Arial" w:hAnsi="Arial"/>
          <w:b/>
          <w:bCs/>
          <w:color w:val="3CC821"/>
          <w:sz w:val="30"/>
          <w:szCs w:val="30"/>
        </w:rPr>
        <w:t xml:space="preserve">Chapitre 5  </w:t>
      </w:r>
      <w:r>
        <w:rPr>
          <w:rFonts w:ascii="Arial" w:cs="Arial" w:eastAsia="Arial" w:hAnsi="Arial"/>
          <w:b/>
          <w:bCs/>
          <w:color w:val="2A3845"/>
          <w:sz w:val="30"/>
          <w:szCs w:val="30"/>
        </w:rPr>
        <w:t xml:space="preserve">Pourquoi le Webhook Reste Indispensable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La redirection navigateur est utile pour l'expérience utilisateur, mais elle n'est jamais fiable à 100 %. Le client peut 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EF9F27" w:sz="12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– Fermer l'onglet avant la redirection.</w:t>
            </w:r>
          </w:p>
        </w:tc>
      </w:tr>
      <w:tr>
        <w:tc>
          <w:tcPr>
            <w:tcBorders>
              <w:top w:val="none"/>
              <w:left w:val="single" w:color="EF9F27" w:sz="12"/>
              <w:bottom w:val="single" w:color="D0D8E0" w:sz="1"/>
              <w:right w:val="none"/>
            </w:tcBorders>
            <w:shd w:fill="E8ECF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– Perdre sa connexion internet à la fin du paiement.</w:t>
            </w:r>
          </w:p>
        </w:tc>
      </w:tr>
      <w:tr>
        <w:tc>
          <w:tcPr>
            <w:tcBorders>
              <w:top w:val="none"/>
              <w:left w:val="single" w:color="EF9F27" w:sz="12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– Bloquer une redirection (proxy, extension navigateur).</w:t>
            </w:r>
          </w:p>
        </w:tc>
      </w:tr>
      <w:tr>
        <w:tc>
          <w:tcPr>
            <w:tcBorders>
              <w:top w:val="none"/>
              <w:left w:val="single" w:color="EF9F27" w:sz="12"/>
              <w:bottom w:val="single" w:color="D0D8E0" w:sz="1"/>
              <w:right w:val="none"/>
            </w:tcBorders>
            <w:shd w:fill="E8ECF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– Revenir trop tôt sur le site.</w:t>
            </w:r>
          </w:p>
        </w:tc>
      </w:tr>
      <w:tr>
        <w:tc>
          <w:tcPr>
            <w:tcBorders>
              <w:top w:val="none"/>
              <w:left w:val="single" w:color="EF9F27" w:sz="12"/>
              <w:bottom w:val="single" w:color="D0D8E0" w:sz="1"/>
              <w:right w:val="none"/>
            </w:tcBorders>
            <w:shd w:fill="F4F6F8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– Rester bloqué sur la page GeniusPay.</w:t>
            </w:r>
          </w:p>
        </w:tc>
      </w:tr>
      <w:tr>
        <w:tc>
          <w:tcPr>
            <w:tcBorders>
              <w:top w:val="none"/>
              <w:left w:val="single" w:color="EF9F27" w:sz="12"/>
              <w:bottom w:val="single" w:color="D0D8E0" w:sz="1"/>
              <w:right w:val="none"/>
            </w:tcBorders>
            <w:shd w:fill="E8ECF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– Rafraîchir la mauvaise page.</w:t>
            </w:r>
          </w:p>
        </w:tc>
      </w:tr>
    </w:tbl>
    <w:p>
      <w:pPr>
        <w:spacing w:after="0" w:before="20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Le webhook est serveur à serveur. C'est lui qui finalise l'inscription. La règle d'or est 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Borders>
              <w:top w:val="none"/>
              <w:left w:val="none"/>
              <w:bottom w:val="none"/>
              <w:right w:val="single" w:color="3A5060" w:sz="2"/>
            </w:tcBorders>
            <w:shd w:fill="2A3845" w:val="clear"/>
            <w:tcMar>
              <w:top w:type="dxa" w:w="260"/>
              <w:left w:type="dxa" w:w="280"/>
              <w:bottom w:type="dxa" w:w="2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CC821"/>
                <w:sz w:val="30"/>
                <w:szCs w:val="30"/>
              </w:rPr>
              <w:t xml:space="preserve">Webhook</w:t>
            </w:r>
          </w:p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Vérité métier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3A4F5E" w:val="clear"/>
            <w:tcMar>
              <w:top w:type="dxa" w:w="260"/>
              <w:left w:type="dxa" w:w="280"/>
              <w:bottom w:type="dxa" w:w="26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1E538"/>
                <w:sz w:val="30"/>
                <w:szCs w:val="30"/>
              </w:rPr>
              <w:t xml:space="preserve">Redirection navigateur</w:t>
            </w:r>
          </w:p>
          <w:p>
            <w:r>
              <w:rPr>
                <w:rFonts w:ascii="Arial" w:cs="Arial" w:eastAsia="Arial" w:hAnsi="Arial"/>
                <w:color w:val="A8B8C4"/>
                <w:sz w:val="21"/>
                <w:szCs w:val="21"/>
              </w:rPr>
              <w:t xml:space="preserve">Confort utilisateur</w:t>
            </w:r>
          </w:p>
        </w:tc>
      </w:tr>
    </w:tbl>
    <w:p>
      <w:pPr>
        <w:spacing w:after="0" w:before="320"/>
      </w:pPr>
    </w:p>
    <w:p>
      <w:pPr>
        <w:pBdr>
          <w:left w:val="single" w:color="3CC821" w:sz="20" w:space="10"/>
        </w:pBdr>
        <w:spacing w:after="200" w:before="480"/>
        <w:ind w:left="220"/>
      </w:pPr>
      <w:r>
        <w:rPr>
          <w:rFonts w:ascii="Arial" w:cs="Arial" w:eastAsia="Arial" w:hAnsi="Arial"/>
          <w:b/>
          <w:bCs/>
          <w:color w:val="3CC821"/>
          <w:sz w:val="30"/>
          <w:szCs w:val="30"/>
        </w:rPr>
        <w:t xml:space="preserve">Chapitre 6  </w:t>
      </w:r>
      <w:r>
        <w:rPr>
          <w:rFonts w:ascii="Arial" w:cs="Arial" w:eastAsia="Arial" w:hAnsi="Arial"/>
          <w:b/>
          <w:bCs/>
          <w:color w:val="2A3845"/>
          <w:sz w:val="30"/>
          <w:szCs w:val="30"/>
        </w:rPr>
        <w:t xml:space="preserve">Architecture Recommandée pour les Prochaines Intégrations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Pour toute future intégration de paiement, appliquer ce modèle en 5 étapes :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3A4F5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E538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3A4F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1E538"/>
                <w:sz w:val="19"/>
                <w:szCs w:val="19"/>
              </w:rPr>
              <w:t xml:space="preserve">Étape</w:t>
            </w:r>
          </w:p>
        </w:tc>
      </w:tr>
      <w:tr>
        <w:tc>
          <w:tcPr>
            <w:tcW w:type="dxa" w:w="5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8"/>
                <w:szCs w:val="28"/>
              </w:rPr>
              <w:t xml:space="preserve">01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3845"/>
                <w:sz w:val="21"/>
                <w:szCs w:val="21"/>
              </w:rPr>
              <w:t xml:space="preserve">Créer une ressource locale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5A6A78"/>
                <w:sz w:val="19"/>
                <w:szCs w:val="19"/>
              </w:rPr>
              <w:t xml:space="preserve">Avant d'appeler le prestataire, créer une entité locale (registration_id, order_id, invoice_id…). Cette entité doit exister AVANT le paiement.</w:t>
            </w:r>
          </w:p>
        </w:tc>
      </w:tr>
      <w:tr>
        <w:tc>
          <w:tcPr>
            <w:tcW w:type="dxa" w:w="560"/>
            <w:tcBorders>
              <w:top w:val="none"/>
              <w:left w:val="none"/>
              <w:bottom w:val="single" w:color="D0D8E0" w:sz="1"/>
              <w:right w:val="none"/>
            </w:tcBorders>
            <w:shd w:fill="E8ECF0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8"/>
                <w:szCs w:val="28"/>
              </w:rPr>
              <w:t xml:space="preserve">02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E8EC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3845"/>
                <w:sz w:val="21"/>
                <w:szCs w:val="21"/>
              </w:rPr>
              <w:t xml:space="preserve">Générer une référence interne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5A6A78"/>
                <w:sz w:val="19"/>
                <w:szCs w:val="19"/>
              </w:rPr>
              <w:t xml:space="preserve">Créer une référence robuste du type : AFR-20260528123000-a1b2c3d4. Elle sert à tracer la tentative de paiement.</w:t>
            </w:r>
          </w:p>
        </w:tc>
      </w:tr>
      <w:tr>
        <w:tc>
          <w:tcPr>
            <w:tcW w:type="dxa" w:w="5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8"/>
                <w:szCs w:val="28"/>
              </w:rPr>
              <w:t xml:space="preserve">03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3845"/>
                <w:sz w:val="21"/>
                <w:szCs w:val="21"/>
              </w:rPr>
              <w:t xml:space="preserve">Envoyer des URLs absolues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5A6A78"/>
                <w:sz w:val="19"/>
                <w:szCs w:val="19"/>
              </w:rPr>
              <w:t xml:space="preserve">success_url et error_url doivent être absolues et contenir l'identifiant local stable. Ne jamais utiliser d'URL relative.</w:t>
            </w:r>
          </w:p>
        </w:tc>
      </w:tr>
      <w:tr>
        <w:tc>
          <w:tcPr>
            <w:tcW w:type="dxa" w:w="560"/>
            <w:tcBorders>
              <w:top w:val="none"/>
              <w:left w:val="none"/>
              <w:bottom w:val="single" w:color="D0D8E0" w:sz="1"/>
              <w:right w:val="none"/>
            </w:tcBorders>
            <w:shd w:fill="E8ECF0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8"/>
                <w:szCs w:val="28"/>
              </w:rPr>
              <w:t xml:space="preserve">04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E8EC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3845"/>
                <w:sz w:val="21"/>
                <w:szCs w:val="21"/>
              </w:rPr>
              <w:t xml:space="preserve">Envoyer le Metadata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5A6A78"/>
                <w:sz w:val="19"/>
                <w:szCs w:val="19"/>
              </w:rPr>
              <w:t xml:space="preserve">Toujours inclure registration_id, registrationRef et internal_reference. Le metadata est le filet de sécurité.</w:t>
            </w:r>
          </w:p>
        </w:tc>
      </w:tr>
      <w:tr>
        <w:tc>
          <w:tcPr>
            <w:tcW w:type="dxa" w:w="5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C821"/>
                <w:sz w:val="28"/>
                <w:szCs w:val="28"/>
              </w:rPr>
              <w:t xml:space="preserve">05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3845"/>
                <w:sz w:val="21"/>
                <w:szCs w:val="21"/>
              </w:rPr>
              <w:t xml:space="preserve">Ne jamais valider depuis l'URL seule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5A6A78"/>
                <w:sz w:val="19"/>
                <w:szCs w:val="19"/>
              </w:rPr>
              <w:t xml:space="preserve">Valider uniquement via webhook signé, API prestataire ou état déjà finalisé en base.</w:t>
            </w:r>
          </w:p>
        </w:tc>
      </w:tr>
    </w:tbl>
    <w:p>
      <w:pPr>
        <w:spacing w:after="0" w:before="2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A3845"/>
          <w:sz w:val="24"/>
          <w:szCs w:val="24"/>
        </w:rPr>
        <w:t xml:space="preserve">Exemple — URLs de retour correctes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9B15" w:sz="4"/>
              <w:left w:val="single" w:color="1F9B15" w:sz="12"/>
              <w:bottom w:val="single" w:color="D0D8E0" w:sz="1"/>
              <w:right w:val="none"/>
            </w:tcBorders>
            <w:shd w:fill="F0F4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// Succès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success_url = https://domaine.com/registration-success.php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              ?registration_id=123&amp;transaction_id=AFR-20260528-a1b2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// Échec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error_url   = https://domaine.com/registration-success.php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              ?registration_id=123&amp;transaction_id=AFR-20260528-a1b2&amp;status=failed</w:t>
            </w:r>
          </w:p>
        </w:tc>
      </w:tr>
    </w:tbl>
    <w:p>
      <w:pPr>
        <w:spacing w:after="0" w:before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A3845"/>
          <w:sz w:val="24"/>
          <w:szCs w:val="24"/>
        </w:rPr>
        <w:t xml:space="preserve">Exemple — Metadata minimal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9B15" w:sz="4"/>
              <w:left w:val="single" w:color="1F9B15" w:sz="12"/>
              <w:bottom w:val="single" w:color="D0D8E0" w:sz="1"/>
              <w:right w:val="none"/>
            </w:tcBorders>
            <w:shd w:fill="F0F4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'metadata' =&gt;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    'registration_id'  =&gt; '123',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    'registrationRef'  =&gt; 'MEMBER_REGISTRATION_TEMP_123',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    'internal_reference' =&gt; 'AFR-20260528-a1b2',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360" w:before="0"/>
        <w:jc w:val="left"/>
      </w:pPr>
      <w:r>
        <w:drawing>
          <wp:inline distT="0" distB="0" distL="0" distR="0">
            <wp:extent cx="1524000" cy="35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3CC821" w:sz="8"/>
        </w:pBdr>
        <w:spacing w:after="60" w:before="60"/>
      </w:pPr>
    </w:p>
    <w:p>
      <w:pPr>
        <w:pBdr>
          <w:left w:val="single" w:color="3CC821" w:sz="20" w:space="10"/>
        </w:pBdr>
        <w:spacing w:after="200" w:before="480"/>
        <w:ind w:left="220"/>
      </w:pPr>
      <w:r>
        <w:rPr>
          <w:rFonts w:ascii="Arial" w:cs="Arial" w:eastAsia="Arial" w:hAnsi="Arial"/>
          <w:b/>
          <w:bCs/>
          <w:color w:val="3CC821"/>
          <w:sz w:val="30"/>
          <w:szCs w:val="30"/>
        </w:rPr>
        <w:t xml:space="preserve">Chapitre 7  </w:t>
      </w:r>
      <w:r>
        <w:rPr>
          <w:rFonts w:ascii="Arial" w:cs="Arial" w:eastAsia="Arial" w:hAnsi="Arial"/>
          <w:b/>
          <w:bCs/>
          <w:color w:val="2A3845"/>
          <w:sz w:val="30"/>
          <w:szCs w:val="30"/>
        </w:rPr>
        <w:t xml:space="preserve">Checklist Avant Mise en Production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Vérifier chaque point avant de livrer une intégration paiement :</w:t>
      </w:r>
    </w:p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566"/>
      </w:tblGrid>
      <w:tr>
        <w:tc>
          <w:tcPr>
            <w:tcW w:type="dxa" w:w="460"/>
            <w:tcBorders>
              <w:top w:val="none"/>
              <w:left w:val="none"/>
              <w:bottom w:val="none"/>
              <w:right w:val="none"/>
            </w:tcBorders>
            <w:shd w:fill="3A4F5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E538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3A4F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1E538"/>
                <w:sz w:val="19"/>
                <w:szCs w:val="19"/>
              </w:rPr>
              <w:t xml:space="preserve">Point de contrôle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Les URLs success_url et error_url sont absolues.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Les URLs pointent vers le domaine public réel.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Le webhook est accessible publiquement.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Le webhook vérifie la signature.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Le payload envoyé au prestataire est loggé sans exposer les secrets.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Le metadata contient l'identifiant local (registration_id).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La page retour retrouve l'inscription par identifiant local.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Le paiement n'est jamais validé uniquement via un paramètre GET.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Les actions de finalisation sont idempotentes.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Un paiement déjà finalisé ne crée pas deux utilisateurs.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Un email déjà envoyé n'est pas renvoyé en boucle.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Les logs permettent de comparer payload envoyé et réponse reçue.</w:t>
            </w:r>
          </w:p>
        </w:tc>
      </w:tr>
    </w:tbl>
    <w:p>
      <w:pPr>
        <w:spacing w:after="0" w:before="300"/>
      </w:pPr>
    </w:p>
    <w:p>
      <w:pPr>
        <w:pBdr>
          <w:left w:val="single" w:color="3CC821" w:sz="20" w:space="10"/>
        </w:pBdr>
        <w:spacing w:after="200" w:before="480"/>
        <w:ind w:left="220"/>
      </w:pPr>
      <w:r>
        <w:rPr>
          <w:rFonts w:ascii="Arial" w:cs="Arial" w:eastAsia="Arial" w:hAnsi="Arial"/>
          <w:b/>
          <w:bCs/>
          <w:color w:val="3CC821"/>
          <w:sz w:val="30"/>
          <w:szCs w:val="30"/>
        </w:rPr>
        <w:t xml:space="preserve">Chapitre 8  </w:t>
      </w:r>
      <w:r>
        <w:rPr>
          <w:rFonts w:ascii="Arial" w:cs="Arial" w:eastAsia="Arial" w:hAnsi="Arial"/>
          <w:b/>
          <w:bCs/>
          <w:color w:val="2A3845"/>
          <w:sz w:val="30"/>
          <w:szCs w:val="30"/>
        </w:rPr>
        <w:t xml:space="preserve">Leçons Apprises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La confusion venait du fait que le paiement « marchait ». Mais dans une intégration paiement, « paiement accepté » et « expérience utilisateur terminée » sont deux choses distinctes.</w:t>
      </w:r>
    </w:p>
    <w:p>
      <w:pPr>
        <w:spacing w:after="0" w:before="12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Un système peut être correct côté serveur et défaillant côté navigateur. C'est pourquoi chaque étape doit être traçable séparément :</w:t>
      </w:r>
    </w:p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3CC821" w:sz="14"/>
              <w:bottom w:val="single" w:color="D0D8E0" w:sz="1"/>
              <w:right w:val="none"/>
            </w:tcBorders>
            <w:shd w:fill="F4F6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3845"/>
                <w:sz w:val="21"/>
                <w:szCs w:val="21"/>
              </w:rPr>
              <w:t xml:space="preserve">Paiement confirmé  </w:t>
            </w: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—  GeniusPay a validé la transaction financière.</w:t>
            </w:r>
          </w:p>
        </w:tc>
      </w:tr>
      <w:tr>
        <w:tc>
          <w:tcPr>
            <w:tcBorders>
              <w:top w:val="none"/>
              <w:left w:val="single" w:color="3CC821" w:sz="14"/>
              <w:bottom w:val="single" w:color="D0D8E0" w:sz="1"/>
              <w:right w:val="none"/>
            </w:tcBorders>
            <w:shd w:fill="E8EC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3845"/>
                <w:sz w:val="21"/>
                <w:szCs w:val="21"/>
              </w:rPr>
              <w:t xml:space="preserve">Inscription finalisée  </w:t>
            </w: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—  La base de données locale est mise à jour.</w:t>
            </w:r>
          </w:p>
        </w:tc>
      </w:tr>
      <w:tr>
        <w:tc>
          <w:tcPr>
            <w:tcBorders>
              <w:top w:val="none"/>
              <w:left w:val="single" w:color="3CC821" w:sz="14"/>
              <w:bottom w:val="single" w:color="D0D8E0" w:sz="1"/>
              <w:right w:val="none"/>
            </w:tcBorders>
            <w:shd w:fill="F4F6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3845"/>
                <w:sz w:val="21"/>
                <w:szCs w:val="21"/>
              </w:rPr>
              <w:t xml:space="preserve">Utilisateur redirigé  </w:t>
            </w: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—  Le navigateur a bien quitté pay.genius.ci.</w:t>
            </w:r>
          </w:p>
        </w:tc>
      </w:tr>
      <w:tr>
        <w:tc>
          <w:tcPr>
            <w:tcBorders>
              <w:top w:val="none"/>
              <w:left w:val="single" w:color="3CC821" w:sz="14"/>
              <w:bottom w:val="single" w:color="D0D8E0" w:sz="1"/>
              <w:right w:val="none"/>
            </w:tcBorders>
            <w:shd w:fill="E8EC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3845"/>
                <w:sz w:val="21"/>
                <w:szCs w:val="21"/>
              </w:rPr>
              <w:t xml:space="preserve">Page succès affichée  </w:t>
            </w: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—  registration-success.php s'est chargée.</w:t>
            </w:r>
          </w:p>
        </w:tc>
      </w:tr>
      <w:tr>
        <w:tc>
          <w:tcPr>
            <w:tcBorders>
              <w:top w:val="none"/>
              <w:left w:val="single" w:color="3CC821" w:sz="14"/>
              <w:bottom w:val="single" w:color="D0D8E0" w:sz="1"/>
              <w:right w:val="none"/>
            </w:tcBorders>
            <w:shd w:fill="F4F6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3845"/>
                <w:sz w:val="21"/>
                <w:szCs w:val="21"/>
              </w:rPr>
              <w:t xml:space="preserve">Email envoyé  </w:t>
            </w:r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—  Les emails d'identifiants et de confirmation sont partis.</w:t>
            </w:r>
          </w:p>
        </w:tc>
      </w:tr>
    </w:tbl>
    <w:p>
      <w:pPr>
        <w:spacing w:after="0" w:before="300"/>
      </w:pPr>
    </w:p>
    <w:p>
      <w:pPr>
        <w:pBdr>
          <w:left w:val="single" w:color="3CC821" w:sz="20" w:space="10"/>
        </w:pBdr>
        <w:spacing w:after="200" w:before="480"/>
        <w:ind w:left="220"/>
      </w:pPr>
      <w:r>
        <w:rPr>
          <w:rFonts w:ascii="Arial" w:cs="Arial" w:eastAsia="Arial" w:hAnsi="Arial"/>
          <w:b/>
          <w:bCs/>
          <w:color w:val="3CC821"/>
          <w:sz w:val="30"/>
          <w:szCs w:val="30"/>
        </w:rPr>
        <w:t xml:space="preserve">Chapitre 9  </w:t>
      </w:r>
      <w:r>
        <w:rPr>
          <w:rFonts w:ascii="Arial" w:cs="Arial" w:eastAsia="Arial" w:hAnsi="Arial"/>
          <w:b/>
          <w:bCs/>
          <w:color w:val="2A3845"/>
          <w:sz w:val="30"/>
          <w:szCs w:val="30"/>
        </w:rPr>
        <w:t xml:space="preserve">Diagnostic si le Problème Revient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Si un client reste encore bloqué sur pay.genius.ci après un paiement, suivre ce protocole :</w:t>
      </w:r>
    </w:p>
    <w:p>
      <w:pPr>
        <w:spacing w:after="0" w:before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A3845"/>
          <w:sz w:val="24"/>
          <w:szCs w:val="24"/>
        </w:rPr>
        <w:t xml:space="preserve">Étape 1 — Consulter les logs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9B15" w:sz="4"/>
              <w:left w:val="single" w:color="1F9B15" w:sz="12"/>
              <w:bottom w:val="single" w:color="D0D8E0" w:sz="1"/>
              <w:right w:val="none"/>
            </w:tcBorders>
            <w:shd w:fill="F0F4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logs/geniuspay_YYYY-MM-DD.log</w:t>
            </w:r>
          </w:p>
        </w:tc>
      </w:tr>
    </w:tbl>
    <w:p>
      <w:pPr>
        <w:spacing w:after="0" w:before="12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8"/>
          <w:sz w:val="22"/>
          <w:szCs w:val="22"/>
        </w:rPr>
        <w:t xml:space="preserve">Rechercher une entrée [PAYMENT_INIT] et vérifier le champ payload :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9B15" w:sz="4"/>
              <w:left w:val="single" w:color="1F9B15" w:sz="12"/>
              <w:bottom w:val="single" w:color="D0D8E0" w:sz="1"/>
              <w:right w:val="none"/>
            </w:tcBorders>
            <w:shd w:fill="F0F4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"payload":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  "success_url": "https://...",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  "error_url":   "https://...",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  "metadata":    { "registration_id": "123", ...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3D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A3845"/>
          <w:sz w:val="24"/>
          <w:szCs w:val="24"/>
        </w:rPr>
        <w:t xml:space="preserve">Étape 2 — Interpréter le résultat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Borders>
              <w:top w:val="single" w:color="3CC821" w:sz="14"/>
              <w:left w:val="none"/>
              <w:bottom w:val="single" w:color="D0D8E0" w:sz="1"/>
              <w:right w:val="single" w:color="D0D8E0" w:sz="1"/>
            </w:tcBorders>
            <w:shd w:fill="F0F9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9B15"/>
                <w:sz w:val="20"/>
                <w:szCs w:val="20"/>
              </w:rPr>
              <w:t xml:space="preserve">URLs correctes dans le log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5A6A78"/>
                <w:sz w:val="19"/>
                <w:szCs w:val="19"/>
              </w:rPr>
              <w:t xml:space="preserve">Le problème est côté GeniusPay. Contacter leur support avec les éléments listés ci-dessous.</w:t>
            </w:r>
          </w:p>
        </w:tc>
        <w:tc>
          <w:tcPr>
            <w:tcBorders>
              <w:top w:val="single" w:color="EF9F27" w:sz="14"/>
              <w:left w:val="none"/>
              <w:bottom w:val="single" w:color="D0D8E0" w:sz="1"/>
              <w:right w:val="none"/>
            </w:tcBorders>
            <w:shd w:fill="FEF9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URLs absentes ou incorrectes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5A6A78"/>
                <w:sz w:val="19"/>
                <w:szCs w:val="19"/>
              </w:rPr>
              <w:t xml:space="preserve">Appliquer à nouveau les corrections du Chapitre 4. Vérifier la construction du payload.</w:t>
            </w:r>
          </w:p>
        </w:tc>
      </w:tr>
    </w:tbl>
    <w:p>
      <w:pPr>
        <w:spacing w:after="0" w:before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A3845"/>
          <w:sz w:val="24"/>
          <w:szCs w:val="24"/>
        </w:rPr>
        <w:t xml:space="preserve">Étape 3 — Éléments à fournir au support GeniusPay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566"/>
      </w:tblGrid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La référence GeniusPay du paiement concerné.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Le payload loggé lors de l'initialisation.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L'heure exacte du paiement.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La checkout_url générée.</w:t>
            </w:r>
          </w:p>
        </w:tc>
      </w:tr>
      <w:tr>
        <w:tc>
          <w:tcPr>
            <w:tcW w:type="dxa" w:w="460"/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9B15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none"/>
              <w:left w:val="none"/>
              <w:bottom w:val="single" w:color="D0D8E0" w:sz="1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78"/>
                <w:sz w:val="20"/>
                <w:szCs w:val="20"/>
              </w:rPr>
              <w:t xml:space="preserve">Les URLs success_url et error_url envoyées.</w:t>
            </w:r>
          </w:p>
        </w:tc>
      </w:tr>
    </w:tbl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3CC821" w:sz="24"/>
              <w:bottom w:val="none"/>
              <w:right w:val="none"/>
            </w:tcBorders>
            <w:shd w:fill="2A3845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Principe à retenir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E538"/>
                <w:sz w:val="22"/>
                <w:szCs w:val="22"/>
              </w:rPr>
              <w:t xml:space="preserve">Le webhook confirme.</w:t>
            </w:r>
            <w:r>
              <w:rPr>
                <w:rFonts w:ascii="Arial" w:cs="Arial" w:eastAsia="Arial" w:hAnsi="Arial"/>
                <w:b/>
                <w:bCs/>
                <w:color w:val="A1E538"/>
                <w:sz w:val="22"/>
                <w:szCs w:val="22"/>
              </w:rPr>
              <w:t xml:space="preserve">   Le metadata relie.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A1E538"/>
                <w:sz w:val="22"/>
                <w:szCs w:val="22"/>
              </w:rPr>
              <w:t xml:space="preserve">Le registration_id retrouve.</w:t>
            </w:r>
            <w:r>
              <w:rPr>
                <w:rFonts w:ascii="Arial" w:cs="Arial" w:eastAsia="Arial" w:hAnsi="Arial"/>
                <w:b/>
                <w:bCs/>
                <w:color w:val="A1E538"/>
                <w:sz w:val="22"/>
                <w:szCs w:val="22"/>
              </w:rPr>
              <w:t xml:space="preserve">   La redirection informe.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A8B8C4"/>
                <w:sz w:val="20"/>
                <w:szCs w:val="20"/>
              </w:rPr>
              <w:t xml:space="preserve">Cette séparation évite les bugs invisibles, les doublons, les inscriptions perdues et les validations frauduleuses.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0" w:sz="4"/>
      </w:pBdr>
      <w:spacing w:before="160"/>
      <w:jc w:val="center"/>
    </w:pPr>
    <w:r>
      <w:rPr>
        <w:rFonts w:ascii="Arial" w:cs="Arial" w:eastAsia="Arial" w:hAnsi="Arial"/>
        <w:color w:val="5A6A78"/>
        <w:sz w:val="16"/>
        <w:szCs w:val="16"/>
      </w:rPr>
      <w:t xml:space="preserve">WSCALE  —  Guide de Résolution GeniusPay  —  Document technique interne  —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rFonts w:ascii="Arial" w:cs="Arial" w:eastAsia="Arial" w:hAnsi="Arial"/>
        <w:color w:val="3CC8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9d9da6e2ae53733ae8f31b0920e9af302b3627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2026-05-29T10:53:07.905Z</dcterms:created>
  <dcterms:modified xsi:type="dcterms:W3CDTF">2026-05-29T10:53:07.916Z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