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sz w:val="22"/>
          <w:szCs w:val="22"/>
        </w:rPr>
        <w:t xml:space="preserve">Contrato de Desenvolvimento de Sistemas e Plataforma RAG ContractOS</w:t>
      </w:r>
    </w:p>
    <w:p>
      <w:pPr>
        <w:pStyle w:val="Subtitle"/>
      </w:pPr>
      <w:r>
        <w:rPr>
          <w:sz w:val="22"/>
          <w:szCs w:val="22"/>
        </w:rPr>
        <w:t xml:space="preserve">Instrumento sintetico extenso para testes de acuracia, recuperacao, tabelas, imagens e referencias cruzadas. Versao 1.0 - 11/07/2026.</w:t>
      </w:r>
    </w:p>
    <w:p>
      <w:pPr>
        <w:pStyle w:val="Heading1"/>
      </w:pPr>
      <w:r>
        <w:rPr>
          <w:sz w:val="22"/>
          <w:szCs w:val="22"/>
        </w:rPr>
        <w:t xml:space="preserve">Resumo Executivo</w:t>
      </w:r>
    </w:p>
    <w:p>
      <w:r>
        <w:rPr>
          <w:sz w:val="22"/>
          <w:szCs w:val="22"/>
        </w:rPr>
        <w:t xml:space="preserve">Este contrato ficticio regula a concepcao, construcao, implantacao assistida e estabilizacao de uma plataforma de gestao documental com recuperacao aumentada por geracao. O conteudo foi redigido para conter clausulas densas, condicoes financeiras, metricas tecnicas, dependencias, excecoes e referencias a uma planilha complementar chamada calculos-contrato-rag.xlsx.</w:t>
      </w:r>
    </w:p>
    <w:tbl>
      <w:tblPr>
        <w:tblW w:w="9360" w:type="dxa"/>
        <w:tblInd w:w="120" w:type="dxa"/>
        <w:tblBorders>
          <w:top w:val="single" w:sz="6" w:color="D0D7DE"/>
          <w:left w:val="single" w:sz="6" w:color="D0D7DE"/>
          <w:bottom w:val="single" w:sz="6" w:color="D0D7DE"/>
          <w:right w:val="single" w:sz="6" w:color="D0D7DE"/>
          <w:insideH w:val="single" w:sz="4" w:color="D0D7DE"/>
          <w:insideV w:val="single" w:sz="4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00"/>
        <w:gridCol w:w="7260"/>
      </w:tblGrid>
      <w:tr>
        <w:tc>
          <w:tcPr>
            <w:tcW w:w="2100" w:type="dxa"/>
            <w:shd w:fill="F2F4F7"/>
          </w:tcPr>
          <w:p>
            <w:r>
              <w:rPr>
                <w:b/>
                <w:sz w:val="20"/>
                <w:szCs w:val="20"/>
              </w:rPr>
              <w:t xml:space="preserve">Campo</w:t>
            </w:r>
          </w:p>
        </w:tc>
        <w:tc>
          <w:tcPr>
            <w:tcW w:w="7260" w:type="dxa"/>
            <w:shd w:fill="F2F4F7"/>
          </w:tcPr>
          <w:p>
            <w:r>
              <w:rPr>
                <w:b/>
                <w:sz w:val="20"/>
                <w:szCs w:val="20"/>
              </w:rPr>
              <w:t xml:space="preserve">Valor contratual</w:t>
            </w:r>
          </w:p>
        </w:tc>
      </w:tr>
      <w:tr>
        <w:tc>
          <w:tcPr>
            <w:tcW w:w="2100" w:type="dxa"/>
          </w:tcPr>
          <w:p>
            <w:r>
              <w:rPr>
                <w:sz w:val="20"/>
                <w:szCs w:val="20"/>
              </w:rPr>
              <w:t xml:space="preserve">Contratante</w:t>
            </w:r>
          </w:p>
        </w:tc>
        <w:tc>
          <w:tcPr>
            <w:tcW w:w="7260" w:type="dxa"/>
          </w:tcPr>
          <w:p>
            <w:r>
              <w:rPr>
                <w:sz w:val="20"/>
                <w:szCs w:val="20"/>
              </w:rPr>
              <w:t xml:space="preserve">Atlas Norte Servicos Digitais S.A.</w:t>
            </w:r>
          </w:p>
        </w:tc>
      </w:tr>
      <w:tr>
        <w:tc>
          <w:tcPr>
            <w:tcW w:w="2100" w:type="dxa"/>
          </w:tcPr>
          <w:p>
            <w:r>
              <w:rPr>
                <w:sz w:val="20"/>
                <w:szCs w:val="20"/>
              </w:rPr>
              <w:t xml:space="preserve">Contratada</w:t>
            </w:r>
          </w:p>
        </w:tc>
        <w:tc>
          <w:tcPr>
            <w:tcW w:w="7260" w:type="dxa"/>
          </w:tcPr>
          <w:p>
            <w:r>
              <w:rPr>
                <w:sz w:val="20"/>
                <w:szCs w:val="20"/>
              </w:rPr>
              <w:t xml:space="preserve">Nebula Systems Engenharia Ltda.</w:t>
            </w:r>
          </w:p>
        </w:tc>
      </w:tr>
      <w:tr>
        <w:tc>
          <w:tcPr>
            <w:tcW w:w="2100" w:type="dxa"/>
          </w:tcPr>
          <w:p>
            <w:r>
              <w:rPr>
                <w:sz w:val="20"/>
                <w:szCs w:val="20"/>
              </w:rPr>
              <w:t xml:space="preserve">Objeto</w:t>
            </w:r>
          </w:p>
        </w:tc>
        <w:tc>
          <w:tcPr>
            <w:tcW w:w="7260" w:type="dxa"/>
          </w:tcPr>
          <w:p>
            <w:r>
              <w:rPr>
                <w:sz w:val="20"/>
                <w:szCs w:val="20"/>
              </w:rPr>
              <w:t xml:space="preserve">Desenvolvimento de plataforma RAG para contratos, propostas, documentos de arquitetura e planilhas financeiras.</w:t>
            </w:r>
          </w:p>
        </w:tc>
      </w:tr>
      <w:tr>
        <w:tc>
          <w:tcPr>
            <w:tcW w:w="2100" w:type="dxa"/>
          </w:tcPr>
          <w:p>
            <w:r>
              <w:rPr>
                <w:sz w:val="20"/>
                <w:szCs w:val="20"/>
              </w:rPr>
              <w:t xml:space="preserve">Valor base</w:t>
            </w:r>
          </w:p>
        </w:tc>
        <w:tc>
          <w:tcPr>
            <w:tcW w:w="7260" w:type="dxa"/>
          </w:tcPr>
          <w:p>
            <w:r>
              <w:rPr>
                <w:sz w:val="20"/>
                <w:szCs w:val="20"/>
              </w:rPr>
              <w:t xml:space="preserve">R$ 1.284.000,00, antes de reajustes, contingencia e creditos por atraso.</w:t>
            </w:r>
          </w:p>
        </w:tc>
      </w:tr>
      <w:tr>
        <w:tc>
          <w:tcPr>
            <w:tcW w:w="2100" w:type="dxa"/>
          </w:tcPr>
          <w:p>
            <w:r>
              <w:rPr>
                <w:sz w:val="20"/>
                <w:szCs w:val="20"/>
              </w:rPr>
              <w:t xml:space="preserve">Prazo</w:t>
            </w:r>
          </w:p>
        </w:tc>
        <w:tc>
          <w:tcPr>
            <w:tcW w:w="7260" w:type="dxa"/>
          </w:tcPr>
          <w:p>
            <w:r>
              <w:rPr>
                <w:sz w:val="20"/>
                <w:szCs w:val="20"/>
              </w:rPr>
              <w:t xml:space="preserve">160 dias corridos ate estabilizacao inicial, com aceite por marcos.</w:t>
            </w:r>
          </w:p>
        </w:tc>
      </w:tr>
    </w:tbl>
    <w:p>
      <w:r>
        <w:rPr>
          <w:i/>
          <w:color w:val="555555"/>
          <w:sz w:val="20"/>
          <w:szCs w:val="20"/>
        </w:rPr>
        <w:t xml:space="preserve">Figura 1 - Linha do tempo contratual e dependencias.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2468880"/>
            <wp:docPr id="1" name="marcos-contratuai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cos-contratuais.png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sz w:val="22"/>
          <w:szCs w:val="22"/>
        </w:rPr>
        <w:t xml:space="preserve">1. Definicoes</w:t>
      </w:r>
    </w:p>
    <w:p>
      <w:r>
        <w:rPr>
          <w:b/>
          <w:sz w:val="22"/>
          <w:szCs w:val="22"/>
        </w:rPr>
        <w:t xml:space="preserve">Backlog Vinculante: conjunto de epicos, historias, criterios de aceite, restricoes e riscos aprovados no Marco M1.</w:t>
      </w:r>
    </w:p>
    <w:p>
      <w:r>
        <w:rPr>
          <w:b/>
          <w:sz w:val="22"/>
          <w:szCs w:val="22"/>
        </w:rPr>
        <w:t xml:space="preserve">Credito de SLA: abatimento financeiro calculado na aba SLA_Creditos da planilha complementar quando a disponibilidade medida ficar abaixo do limiar contratado.</w:t>
      </w:r>
    </w:p>
    <w:p>
      <w:r>
        <w:rPr>
          <w:b/>
          <w:sz w:val="22"/>
          <w:szCs w:val="22"/>
        </w:rPr>
        <w:t xml:space="preserve">Evidencia de Aceite: registro verificavel composto por log, captura, planilha de teste, hash de artefato e aprovacao nominal do responsavel.</w:t>
      </w:r>
    </w:p>
    <w:p>
      <w:r>
        <w:rPr>
          <w:b/>
          <w:sz w:val="22"/>
          <w:szCs w:val="22"/>
        </w:rPr>
        <w:t xml:space="preserve">Informacao Sensivel: dados pessoais, segredo comercial, credenciais, chaves, embeddings recuperaveis e registros submetidos ao dever de confidencialidade.</w:t>
      </w:r>
    </w:p>
    <w:p>
      <w:r>
        <w:rPr>
          <w:b/>
          <w:sz w:val="22"/>
          <w:szCs w:val="22"/>
        </w:rPr>
        <w:t xml:space="preserve">Mudanca Regulatória: alteracao legal, administrativa ou setorial posterior a assinatura que impacte escopo, custo, cronograma ou retencao de dados.</w:t>
      </w:r>
    </w:p>
    <w:p>
      <w:pPr>
        <w:pStyle w:val="Heading1"/>
      </w:pPr>
      <w:r>
        <w:rPr>
          <w:sz w:val="22"/>
          <w:szCs w:val="22"/>
        </w:rPr>
        <w:t xml:space="preserve">2. Objeto e Escopo</w:t>
      </w:r>
    </w:p>
    <w:p>
      <w:r>
        <w:rPr>
          <w:sz w:val="22"/>
          <w:szCs w:val="22"/>
        </w:rPr>
        <w:t xml:space="preserve">A Contratada desenvolvera uma solucao composta por API de ingestao, worker assíncrono, armazenamento de arquivos, banco relacional, indice vetorial Milvus, interface web administrativa, servidor MCP e trilhas de observabilidade.</w:t>
      </w:r>
    </w:p>
    <w:p>
      <w:r>
        <w:rPr>
          <w:sz w:val="22"/>
          <w:szCs w:val="22"/>
        </w:rPr>
        <w:t xml:space="preserve">O escopo inclui extracao de texto de PDF, DOCX, XLSX, imagens PNG/JPEG e documentos digitalizados quando houver motor OCR homologado. Arquivos criptografados, corrompidos ou protegidos por senha dependem de tratamento especifico.</w:t>
      </w:r>
    </w:p>
    <w:p>
      <w:r>
        <w:rPr>
          <w:sz w:val="22"/>
          <w:szCs w:val="22"/>
        </w:rPr>
        <w:t xml:space="preserve">A entrega nao inclui hospedagem definitiva, licencas de terceiros, curadoria juridica humana, treinamento de modelo fundacional, nem migracao historica acima de 250.000 documentos sem ordem de mudanca.</w:t>
      </w:r>
    </w:p>
    <w:p>
      <w:pPr>
        <w:pStyle w:val="Heading1"/>
      </w:pPr>
      <w:r>
        <w:rPr>
          <w:sz w:val="22"/>
          <w:szCs w:val="22"/>
        </w:rPr>
        <w:t xml:space="preserve">3. Governanca, papeis e ritos</w:t>
      </w:r>
    </w:p>
    <w:p>
      <w:r>
        <w:rPr>
          <w:sz w:val="22"/>
          <w:szCs w:val="22"/>
        </w:rPr>
        <w:t xml:space="preserve">O comite executivo se reunira quinzenalmente para deliberar sobre riscos de prazo, aceite de marcos, mudancas de escopo e impedimentos externos.</w:t>
      </w:r>
    </w:p>
    <w:p>
      <w:r>
        <w:rPr>
          <w:sz w:val="22"/>
          <w:szCs w:val="22"/>
        </w:rPr>
        <w:t xml:space="preserve">O Product Owner do Contratante devera responder duvidas funcionais em ate dois dias uteis. A demora superior a cinco dias uteis suspende os prazos afetados, desde que registrada em ata.</w:t>
      </w:r>
    </w:p>
    <w:p>
      <w:r>
        <w:rPr>
          <w:sz w:val="22"/>
          <w:szCs w:val="22"/>
        </w:rPr>
        <w:t xml:space="preserve">A Contratada manterá matriz RACI com responsaveis por arquitetura, seguranca, dados, testes, infraestrutura e gestao de mudancas.</w:t>
      </w:r>
    </w:p>
    <w:p>
      <w:pPr>
        <w:pStyle w:val="Heading1"/>
      </w:pPr>
      <w:r>
        <w:rPr>
          <w:sz w:val="22"/>
          <w:szCs w:val="22"/>
        </w:rPr>
        <w:t xml:space="preserve">4. Cronograma e marcos de aceite</w:t>
      </w:r>
    </w:p>
    <w:p>
      <w:r>
        <w:rPr>
          <w:sz w:val="22"/>
          <w:szCs w:val="22"/>
        </w:rPr>
        <w:t xml:space="preserve">M0 corresponde a assinatura e abertura do ambiente de colaboracao. M1 valida descoberta, taxonomia inicial e criterios de aceite. M2 entrega MVP operacional. M3 encerra piloto assistido. M4 representa go-live controlado. M5 confirma estabilizacao.</w:t>
      </w:r>
    </w:p>
    <w:p>
      <w:r>
        <w:rPr>
          <w:sz w:val="22"/>
          <w:szCs w:val="22"/>
        </w:rPr>
        <w:t xml:space="preserve">Cada marco exige ata de aceite ou rejeicao fundamentada. A rejeicao deve apontar evidencia objetiva e item contratual violado, evitando recusa generica.</w:t>
      </w:r>
    </w:p>
    <w:p>
      <w:r>
        <w:rPr>
          <w:sz w:val="22"/>
          <w:szCs w:val="22"/>
        </w:rPr>
        <w:t xml:space="preserve">Defeitos bloqueantes suspendem aceite; defeitos maiores admitem aceite condicionado com prazo de correcao; defeitos menores entram no backlog de estabilizacao.</w:t>
      </w:r>
    </w:p>
    <w:p>
      <w:pPr>
        <w:pStyle w:val="Heading1"/>
      </w:pPr>
      <w:r>
        <w:rPr>
          <w:sz w:val="22"/>
          <w:szCs w:val="22"/>
        </w:rPr>
        <w:t xml:space="preserve">5. Preco, faturamento e reajuste</w:t>
      </w:r>
    </w:p>
    <w:p>
      <w:r>
        <w:rPr>
          <w:sz w:val="22"/>
          <w:szCs w:val="22"/>
        </w:rPr>
        <w:t xml:space="preserve">O preco base e composto por descoberta, implementacao, integracoes, testes, gestao e estabilizacao, conforme detalhado na planilha complementar.</w:t>
      </w:r>
    </w:p>
    <w:p>
      <w:r>
        <w:rPr>
          <w:sz w:val="22"/>
          <w:szCs w:val="22"/>
        </w:rPr>
        <w:t xml:space="preserve">Os valores de cada marco serao faturados apos aceite: M1 15%, M2 25%, M3 25%, M4 25% e M5 10%.</w:t>
      </w:r>
    </w:p>
    <w:p>
      <w:r>
        <w:rPr>
          <w:sz w:val="22"/>
          <w:szCs w:val="22"/>
        </w:rPr>
        <w:t xml:space="preserve">Caso o IPCA acumulado entre assinatura e faturamento de um marco supere 4%, aplica-se reajuste proporcional apenas sobre parcelas futuras ainda nao faturadas.</w:t>
      </w:r>
    </w:p>
    <w:p>
      <w:pPr>
        <w:pStyle w:val="Heading1"/>
      </w:pPr>
      <w:r>
        <w:rPr>
          <w:sz w:val="22"/>
          <w:szCs w:val="22"/>
        </w:rPr>
        <w:t xml:space="preserve">6. Regras de calculo financeiro</w:t>
      </w:r>
    </w:p>
    <w:p>
      <w:r>
        <w:rPr>
          <w:sz w:val="22"/>
          <w:szCs w:val="22"/>
        </w:rPr>
        <w:t xml:space="preserve">A aba Premissas da planilha contem taxas, percentuais, multiplicadores e limites. A aba Cronograma_Desembolso aplica os percentuais de marcos ao preco base corrigido.</w:t>
      </w:r>
    </w:p>
    <w:p>
      <w:r>
        <w:rPr>
          <w:sz w:val="22"/>
          <w:szCs w:val="22"/>
        </w:rPr>
        <w:t xml:space="preserve">Horas excedentes somente serao cobradas quando houver ordem de mudanca aprovada e memoria de calculo com perfil profissional, quantidade, taxa hora e justificativa.</w:t>
      </w:r>
    </w:p>
    <w:p>
      <w:r>
        <w:rPr>
          <w:sz w:val="22"/>
          <w:szCs w:val="22"/>
        </w:rPr>
        <w:t xml:space="preserve">Creditos por atraso injustificado limitam-se a 8% do valor do marco afetado, salvo dolo, fraude ou violacao de confidencialidade.</w:t>
      </w:r>
    </w:p>
    <w:p>
      <w:pPr>
        <w:pStyle w:val="Heading1"/>
      </w:pPr>
      <w:r>
        <w:rPr>
          <w:sz w:val="22"/>
          <w:szCs w:val="22"/>
        </w:rPr>
        <w:t xml:space="preserve">7. Niveis de servico</w:t>
      </w:r>
    </w:p>
    <w:p>
      <w:r>
        <w:rPr>
          <w:sz w:val="22"/>
          <w:szCs w:val="22"/>
        </w:rPr>
        <w:t xml:space="preserve">Durante estabilizacao, a plataforma devera manter disponibilidade mensal minima de 99,50% para componentes sob gestao da Contratada.</w:t>
      </w:r>
    </w:p>
    <w:p>
      <w:r>
        <w:rPr>
          <w:sz w:val="22"/>
          <w:szCs w:val="22"/>
        </w:rPr>
        <w:t xml:space="preserve">Incidentes severos devem receber primeiro atendimento em ate 2 horas comerciais e plano de contencao em ate 8 horas comerciais.</w:t>
      </w:r>
    </w:p>
    <w:p>
      <w:r>
        <w:rPr>
          <w:sz w:val="22"/>
          <w:szCs w:val="22"/>
        </w:rPr>
        <w:t xml:space="preserve">A medicao exclui janelas aprovadas, indisponibilidades de nuvem contratada pelo Contratante, falhas de identidade corporativa e eventos de forca maior.</w:t>
      </w:r>
    </w:p>
    <w:p>
      <w:pPr>
        <w:pStyle w:val="Heading1"/>
      </w:pPr>
      <w:r>
        <w:rPr>
          <w:sz w:val="22"/>
          <w:szCs w:val="22"/>
        </w:rPr>
        <w:t xml:space="preserve">8. Segurança e privacidade</w:t>
      </w:r>
    </w:p>
    <w:p>
      <w:r>
        <w:rPr>
          <w:sz w:val="22"/>
          <w:szCs w:val="22"/>
        </w:rPr>
        <w:t xml:space="preserve">A solucao devera aplicar controle de acesso por organizacao, processo, squad e fase de entrega, com logs de consulta e trilhas de ingestao.</w:t>
      </w:r>
    </w:p>
    <w:p>
      <w:r>
        <w:rPr>
          <w:sz w:val="22"/>
          <w:szCs w:val="22"/>
        </w:rPr>
        <w:t xml:space="preserve">Credenciais nao poderao ser armazenadas em texto claro. Chaves de API devem permanecer em cofre ou mecanismo equivalente aprovado.</w:t>
      </w:r>
    </w:p>
    <w:p>
      <w:r>
        <w:rPr>
          <w:sz w:val="22"/>
          <w:szCs w:val="22"/>
        </w:rPr>
        <w:t xml:space="preserve">Dados pessoais usados em homologacao deverao ser anonimizados, mascarados ou minimizados, salvo autorizacao especifica e base legal documentada.</w:t>
      </w:r>
    </w:p>
    <w:p>
      <w:pPr>
        <w:pStyle w:val="Heading1"/>
      </w:pPr>
      <w:r>
        <w:rPr>
          <w:sz w:val="22"/>
          <w:szCs w:val="22"/>
        </w:rPr>
        <w:t xml:space="preserve">9. Propriedade intelectual</w:t>
      </w:r>
    </w:p>
    <w:p>
      <w:r>
        <w:rPr>
          <w:sz w:val="22"/>
          <w:szCs w:val="22"/>
        </w:rPr>
        <w:t xml:space="preserve">O codigo especifico do projeto sera cedido ao Contratante apos pagamento integral das parcelas vencidas, exceto bibliotecas preexistentes, ferramentas internas e componentes de terceiros.</w:t>
      </w:r>
    </w:p>
    <w:p>
      <w:r>
        <w:rPr>
          <w:sz w:val="22"/>
          <w:szCs w:val="22"/>
        </w:rPr>
        <w:t xml:space="preserve">A Contratada conserva know-how, metodos, templates, scripts genericos e aceleradores nao exclusivos, desde que nao contenham Informacao Sensivel do Contratante.</w:t>
      </w:r>
    </w:p>
    <w:p>
      <w:r>
        <w:rPr>
          <w:sz w:val="22"/>
          <w:szCs w:val="22"/>
        </w:rPr>
        <w:t xml:space="preserve">Modelos, embeddings e indices criados a partir de documentos do Contratante pertencem ao Contratante e devem ser exportados ou destruídos ao fim do contrato.</w:t>
      </w:r>
    </w:p>
    <w:p>
      <w:pPr>
        <w:pStyle w:val="Heading1"/>
      </w:pPr>
      <w:r>
        <w:rPr>
          <w:sz w:val="22"/>
          <w:szCs w:val="22"/>
        </w:rPr>
        <w:t xml:space="preserve">10. Testes, qualidade e evidencias</w:t>
      </w:r>
    </w:p>
    <w:p>
      <w:r>
        <w:rPr>
          <w:sz w:val="22"/>
          <w:szCs w:val="22"/>
        </w:rPr>
        <w:t xml:space="preserve">Testes minimos incluem ingestao por formato, chunking, recuperacao, citacao de fontes, autorizacao por organizacao, exclusao logica, observabilidade e resiliencia de worker.</w:t>
      </w:r>
    </w:p>
    <w:p>
      <w:r>
        <w:rPr>
          <w:sz w:val="22"/>
          <w:szCs w:val="22"/>
        </w:rPr>
        <w:t xml:space="preserve">A amostra de avaliacao de RAG deve conter perguntas de resposta direta, comparacao, calculo, contradicao, tabela, imagem e ausencia de resposta.</w:t>
      </w:r>
    </w:p>
    <w:p>
      <w:r>
        <w:rPr>
          <w:sz w:val="22"/>
          <w:szCs w:val="22"/>
        </w:rPr>
        <w:t xml:space="preserve">Acuracia minima do piloto: 85% de respostas aceitaveis em conjunto validado, com no maximo 3% de respostas materialmente alucinadas.</w:t>
      </w:r>
    </w:p>
    <w:p>
      <w:pPr>
        <w:pStyle w:val="Heading1"/>
      </w:pPr>
      <w:r>
        <w:rPr>
          <w:sz w:val="22"/>
          <w:szCs w:val="22"/>
        </w:rPr>
        <w:t xml:space="preserve">11. Mudancas de escopo</w:t>
      </w:r>
    </w:p>
    <w:p>
      <w:r>
        <w:rPr>
          <w:sz w:val="22"/>
          <w:szCs w:val="22"/>
        </w:rPr>
        <w:t xml:space="preserve">Toda mudanca sera descrita em ordem numerada contendo origem, justificativa, impacto em prazo, impacto em custo, risco residual e decisao.</w:t>
      </w:r>
    </w:p>
    <w:p>
      <w:r>
        <w:rPr>
          <w:sz w:val="22"/>
          <w:szCs w:val="22"/>
        </w:rPr>
        <w:t xml:space="preserve">Mudancas emergenciais podem iniciar mediante aprovacao por e-mail de dois representantes autorizados, mas devem ser formalizadas em ate cinco dias uteis.</w:t>
      </w:r>
    </w:p>
    <w:p>
      <w:r>
        <w:rPr>
          <w:sz w:val="22"/>
          <w:szCs w:val="22"/>
        </w:rPr>
        <w:t xml:space="preserve">Funcionalidades fora do Backlog Vinculante nao serao consideradas atraso quando dependerem de nova estimativa.</w:t>
      </w:r>
    </w:p>
    <w:p>
      <w:pPr>
        <w:pStyle w:val="Heading1"/>
      </w:pPr>
      <w:r>
        <w:rPr>
          <w:sz w:val="22"/>
          <w:szCs w:val="22"/>
        </w:rPr>
        <w:t xml:space="preserve">12. Penalidades e creditos</w:t>
      </w:r>
    </w:p>
    <w:p>
      <w:r>
        <w:rPr>
          <w:sz w:val="22"/>
          <w:szCs w:val="22"/>
        </w:rPr>
        <w:t xml:space="preserve">Atraso injustificado por culpa exclusiva da Contratada gera credito diario de 0,15% sobre o marco afetado, limitado a 8%.</w:t>
      </w:r>
    </w:p>
    <w:p>
      <w:r>
        <w:rPr>
          <w:sz w:val="22"/>
          <w:szCs w:val="22"/>
        </w:rPr>
        <w:t xml:space="preserve">Falha de confidencialidade comprovada autoriza suspensao imediata de acessos, plano de remediacao e multa especifica de ate 12% do valor total.</w:t>
      </w:r>
    </w:p>
    <w:p>
      <w:r>
        <w:rPr>
          <w:sz w:val="22"/>
          <w:szCs w:val="22"/>
        </w:rPr>
        <w:t xml:space="preserve">Penalidades nao se acumulam quando decorrerem do mesmo fato gerador; aplica-se a mais especifica, sem prejuizo de perdas diretas comprovadas.</w:t>
      </w:r>
    </w:p>
    <w:p>
      <w:pPr>
        <w:pStyle w:val="Heading1"/>
      </w:pPr>
      <w:r>
        <w:rPr>
          <w:sz w:val="22"/>
          <w:szCs w:val="22"/>
        </w:rPr>
        <w:t xml:space="preserve">13. Encerramento e transicao</w:t>
      </w:r>
    </w:p>
    <w:p>
      <w:r>
        <w:rPr>
          <w:sz w:val="22"/>
          <w:szCs w:val="22"/>
        </w:rPr>
        <w:t xml:space="preserve">No encerramento, a Contratada entregara repositorios, diagramas, runbooks, evidencias, exportacao de metadados e inventario de credenciais revogadas.</w:t>
      </w:r>
    </w:p>
    <w:p>
      <w:r>
        <w:rPr>
          <w:sz w:val="22"/>
          <w:szCs w:val="22"/>
        </w:rPr>
        <w:t xml:space="preserve">A assistencia de transicao inclui ate 40 horas no periodo de 30 dias apos M5; horas adicionais dependem de ordem de servico.</w:t>
      </w:r>
    </w:p>
    <w:p>
      <w:r>
        <w:rPr>
          <w:sz w:val="22"/>
          <w:szCs w:val="22"/>
        </w:rPr>
        <w:t xml:space="preserve">Backups temporarios mantidos pela Contratada deverao ser eliminados em ate 20 dias uteis, com declaracao de descarte.</w:t>
      </w:r>
    </w:p>
    <w:p>
      <w:pPr>
        <w:pStyle w:val="Heading1"/>
      </w:pPr>
      <w:r>
        <w:rPr>
          <w:sz w:val="22"/>
          <w:szCs w:val="22"/>
        </w:rPr>
        <w:t xml:space="preserve">Matriz resumida de marcos e pagamentos</w:t>
      </w:r>
    </w:p>
    <w:tbl>
      <w:tblPr>
        <w:tblW w:w="9360" w:type="dxa"/>
        <w:tblInd w:w="120" w:type="dxa"/>
        <w:tblBorders>
          <w:top w:val="single" w:sz="6" w:color="D0D7DE"/>
          <w:left w:val="single" w:sz="6" w:color="D0D7DE"/>
          <w:bottom w:val="single" w:sz="6" w:color="D0D7DE"/>
          <w:right w:val="single" w:sz="6" w:color="D0D7DE"/>
          <w:insideH w:val="single" w:sz="4" w:color="D0D7DE"/>
          <w:insideV w:val="single" w:sz="4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00"/>
        <w:gridCol w:w="3500"/>
        <w:gridCol w:w="900"/>
        <w:gridCol w:w="3660"/>
      </w:tblGrid>
      <w:tr>
        <w:tc>
          <w:tcPr>
            <w:tcW w:w="1300" w:type="dxa"/>
            <w:shd w:fill="F2F4F7"/>
          </w:tcPr>
          <w:p>
            <w:r>
              <w:rPr>
                <w:b/>
                <w:sz w:val="20"/>
                <w:szCs w:val="20"/>
              </w:rPr>
              <w:t xml:space="preserve">Marco</w:t>
            </w:r>
          </w:p>
        </w:tc>
        <w:tc>
          <w:tcPr>
            <w:tcW w:w="3500" w:type="dxa"/>
            <w:shd w:fill="F2F4F7"/>
          </w:tcPr>
          <w:p>
            <w:r>
              <w:rPr>
                <w:b/>
                <w:sz w:val="20"/>
                <w:szCs w:val="20"/>
              </w:rPr>
              <w:t xml:space="preserve">Entregavel principal</w:t>
            </w:r>
          </w:p>
        </w:tc>
        <w:tc>
          <w:tcPr>
            <w:tcW w:w="900" w:type="dxa"/>
            <w:shd w:fill="F2F4F7"/>
          </w:tcPr>
          <w:p>
            <w:r>
              <w:rPr>
                <w:b/>
                <w:sz w:val="20"/>
                <w:szCs w:val="20"/>
              </w:rPr>
              <w:t xml:space="preserve">%</w:t>
            </w:r>
          </w:p>
        </w:tc>
        <w:tc>
          <w:tcPr>
            <w:tcW w:w="3660" w:type="dxa"/>
            <w:shd w:fill="F2F4F7"/>
          </w:tcPr>
          <w:p>
            <w:r>
              <w:rPr>
                <w:b/>
                <w:sz w:val="20"/>
                <w:szCs w:val="20"/>
              </w:rPr>
              <w:t xml:space="preserve">Criterio de aceite</w:t>
            </w:r>
          </w:p>
        </w:tc>
      </w:tr>
      <w:tr>
        <w:tc>
          <w:tcPr>
            <w:tcW w:w="1300" w:type="dxa"/>
          </w:tcPr>
          <w:p>
            <w:r>
              <w:rPr>
                <w:sz w:val="20"/>
                <w:szCs w:val="20"/>
              </w:rPr>
              <w:t xml:space="preserve">M1</w:t>
            </w:r>
          </w:p>
        </w:tc>
        <w:tc>
          <w:tcPr>
            <w:tcW w:w="3500" w:type="dxa"/>
          </w:tcPr>
          <w:p>
            <w:r>
              <w:rPr>
                <w:sz w:val="20"/>
                <w:szCs w:val="20"/>
              </w:rPr>
              <w:t xml:space="preserve">Descoberta, backlog e arquitetura inicial</w:t>
            </w:r>
          </w:p>
        </w:tc>
        <w:tc>
          <w:tcPr>
            <w:tcW w:w="900" w:type="dxa"/>
          </w:tcPr>
          <w:p>
            <w:r>
              <w:rPr>
                <w:sz w:val="20"/>
                <w:szCs w:val="20"/>
              </w:rPr>
              <w:t xml:space="preserve">15%</w:t>
            </w:r>
          </w:p>
        </w:tc>
        <w:tc>
          <w:tcPr>
            <w:tcW w:w="3660" w:type="dxa"/>
          </w:tcPr>
          <w:p>
            <w:r>
              <w:rPr>
                <w:sz w:val="20"/>
                <w:szCs w:val="20"/>
              </w:rPr>
              <w:t xml:space="preserve">Ata assinada e riscos priorizados</w:t>
            </w:r>
          </w:p>
        </w:tc>
      </w:tr>
      <w:tr>
        <w:tc>
          <w:tcPr>
            <w:tcW w:w="1300" w:type="dxa"/>
          </w:tcPr>
          <w:p>
            <w:r>
              <w:rPr>
                <w:sz w:val="20"/>
                <w:szCs w:val="20"/>
              </w:rPr>
              <w:t xml:space="preserve">M2</w:t>
            </w:r>
          </w:p>
        </w:tc>
        <w:tc>
          <w:tcPr>
            <w:tcW w:w="3500" w:type="dxa"/>
          </w:tcPr>
          <w:p>
            <w:r>
              <w:rPr>
                <w:sz w:val="20"/>
                <w:szCs w:val="20"/>
              </w:rPr>
              <w:t xml:space="preserve">MVP com ingestao e consulta RAG</w:t>
            </w:r>
          </w:p>
        </w:tc>
        <w:tc>
          <w:tcPr>
            <w:tcW w:w="900" w:type="dxa"/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  <w:tc>
          <w:tcPr>
            <w:tcW w:w="3660" w:type="dxa"/>
          </w:tcPr>
          <w:p>
            <w:r>
              <w:rPr>
                <w:sz w:val="20"/>
                <w:szCs w:val="20"/>
              </w:rPr>
              <w:t xml:space="preserve">Testes de formato e citacao aprovados</w:t>
            </w:r>
          </w:p>
        </w:tc>
      </w:tr>
      <w:tr>
        <w:tc>
          <w:tcPr>
            <w:tcW w:w="1300" w:type="dxa"/>
          </w:tcPr>
          <w:p>
            <w:r>
              <w:rPr>
                <w:sz w:val="20"/>
                <w:szCs w:val="20"/>
              </w:rPr>
              <w:t xml:space="preserve">M3</w:t>
            </w:r>
          </w:p>
        </w:tc>
        <w:tc>
          <w:tcPr>
            <w:tcW w:w="3500" w:type="dxa"/>
          </w:tcPr>
          <w:p>
            <w:r>
              <w:rPr>
                <w:sz w:val="20"/>
                <w:szCs w:val="20"/>
              </w:rPr>
              <w:t xml:space="preserve">Piloto assistido com usuarios-chave</w:t>
            </w:r>
          </w:p>
        </w:tc>
        <w:tc>
          <w:tcPr>
            <w:tcW w:w="900" w:type="dxa"/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  <w:tc>
          <w:tcPr>
            <w:tcW w:w="3660" w:type="dxa"/>
          </w:tcPr>
          <w:p>
            <w:r>
              <w:rPr>
                <w:sz w:val="20"/>
                <w:szCs w:val="20"/>
              </w:rPr>
              <w:t xml:space="preserve">Acuracia e operacao dentro dos limites</w:t>
            </w:r>
          </w:p>
        </w:tc>
      </w:tr>
      <w:tr>
        <w:tc>
          <w:tcPr>
            <w:tcW w:w="1300" w:type="dxa"/>
          </w:tcPr>
          <w:p>
            <w:r>
              <w:rPr>
                <w:sz w:val="20"/>
                <w:szCs w:val="20"/>
              </w:rPr>
              <w:t xml:space="preserve">M4</w:t>
            </w:r>
          </w:p>
        </w:tc>
        <w:tc>
          <w:tcPr>
            <w:tcW w:w="3500" w:type="dxa"/>
          </w:tcPr>
          <w:p>
            <w:r>
              <w:rPr>
                <w:sz w:val="20"/>
                <w:szCs w:val="20"/>
              </w:rPr>
              <w:t xml:space="preserve">Go-live controlado</w:t>
            </w:r>
          </w:p>
        </w:tc>
        <w:tc>
          <w:tcPr>
            <w:tcW w:w="900" w:type="dxa"/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  <w:tc>
          <w:tcPr>
            <w:tcW w:w="3660" w:type="dxa"/>
          </w:tcPr>
          <w:p>
            <w:r>
              <w:rPr>
                <w:sz w:val="20"/>
                <w:szCs w:val="20"/>
              </w:rPr>
              <w:t xml:space="preserve">Ambiente produtivo e plano de reversao</w:t>
            </w:r>
          </w:p>
        </w:tc>
      </w:tr>
      <w:tr>
        <w:tc>
          <w:tcPr>
            <w:tcW w:w="1300" w:type="dxa"/>
          </w:tcPr>
          <w:p>
            <w:r>
              <w:rPr>
                <w:sz w:val="20"/>
                <w:szCs w:val="20"/>
              </w:rPr>
              <w:t xml:space="preserve">M5</w:t>
            </w:r>
          </w:p>
        </w:tc>
        <w:tc>
          <w:tcPr>
            <w:tcW w:w="3500" w:type="dxa"/>
          </w:tcPr>
          <w:p>
            <w:r>
              <w:rPr>
                <w:sz w:val="20"/>
                <w:szCs w:val="20"/>
              </w:rPr>
              <w:t xml:space="preserve">Estabilizacao</w:t>
            </w:r>
          </w:p>
        </w:tc>
        <w:tc>
          <w:tcPr>
            <w:tcW w:w="900" w:type="dxa"/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w="3660" w:type="dxa"/>
          </w:tcPr>
          <w:p>
            <w:r>
              <w:rPr>
                <w:sz w:val="20"/>
                <w:szCs w:val="20"/>
              </w:rPr>
              <w:t xml:space="preserve">SLA inicial e handover concluídos</w:t>
            </w:r>
          </w:p>
        </w:tc>
      </w:tr>
    </w:tbl>
    <w:p>
      <w:pPr>
        <w:pStyle w:val="Heading1"/>
      </w:pPr>
      <w:r>
        <w:rPr>
          <w:sz w:val="22"/>
          <w:szCs w:val="22"/>
        </w:rPr>
        <w:t xml:space="preserve">Anexo I - Casos deliberadamente ambiguos para RAG</w:t>
      </w:r>
    </w:p>
    <w:p>
      <w:pPr>
        <w:pStyle w:val="ListParagraph"/>
        <w:numPr>
          <w:ilvl w:val="0"/>
          <w:numId w:val="2"/>
        </w:numPr>
      </w:pPr>
      <w:r>
        <w:t>Cenario 1: pergunta deve distinguir entre valor base, valor corrigido, credito de SLA, credito por atraso e parcelas faturadas; a resposta correta depende da planilha e da clausula 5.</w:t>
      </w:r>
    </w:p>
    <w:p>
      <w:pPr>
        <w:pStyle w:val="ListParagraph"/>
        <w:numPr>
          <w:ilvl w:val="0"/>
          <w:numId w:val="2"/>
        </w:numPr>
      </w:pPr>
      <w:r>
        <w:t>Cenario 2: pergunta deve distinguir entre valor base, valor corrigido, credito de SLA, credito por atraso e parcelas faturadas; a resposta correta depende da planilha e da clausula 6.</w:t>
      </w:r>
    </w:p>
    <w:p>
      <w:pPr>
        <w:pStyle w:val="ListParagraph"/>
        <w:numPr>
          <w:ilvl w:val="0"/>
          <w:numId w:val="2"/>
        </w:numPr>
      </w:pPr>
      <w:r>
        <w:t>Cenario 3: pergunta deve distinguir entre valor base, valor corrigido, credito de SLA, credito por atraso e parcelas faturadas; a resposta correta depende da planilha e da clausula 7.</w:t>
      </w:r>
    </w:p>
    <w:p>
      <w:pPr>
        <w:pStyle w:val="ListParagraph"/>
        <w:numPr>
          <w:ilvl w:val="0"/>
          <w:numId w:val="2"/>
        </w:numPr>
      </w:pPr>
      <w:r>
        <w:t>Cenario 4: pergunta deve distinguir entre valor base, valor corrigido, credito de SLA, credito por atraso e parcelas faturadas; a resposta correta depende da planilha e da clausula 8.</w:t>
      </w:r>
    </w:p>
    <w:p>
      <w:pPr>
        <w:pStyle w:val="ListParagraph"/>
        <w:numPr>
          <w:ilvl w:val="0"/>
          <w:numId w:val="2"/>
        </w:numPr>
      </w:pPr>
      <w:r>
        <w:t>Cenario 5: pergunta deve distinguir entre valor base, valor corrigido, credito de SLA, credito por atraso e parcelas faturadas; a resposta correta depende da planilha e da clausula 9.</w:t>
      </w:r>
    </w:p>
    <w:p>
      <w:pPr>
        <w:pStyle w:val="ListParagraph"/>
        <w:numPr>
          <w:ilvl w:val="0"/>
          <w:numId w:val="2"/>
        </w:numPr>
      </w:pPr>
      <w:r>
        <w:t>Cenario 6: pergunta deve distinguir entre valor base, valor corrigido, credito de SLA, credito por atraso e parcelas faturadas; a resposta correta depende da planilha e da clausula 10.</w:t>
      </w:r>
    </w:p>
    <w:p>
      <w:pPr>
        <w:pStyle w:val="ListParagraph"/>
        <w:numPr>
          <w:ilvl w:val="0"/>
          <w:numId w:val="2"/>
        </w:numPr>
      </w:pPr>
      <w:r>
        <w:t>Cenario 7: pergunta deve distinguir entre valor base, valor corrigido, credito de SLA, credito por atraso e parcelas faturadas; a resposta correta depende da planilha e da clausula 11.</w:t>
      </w:r>
    </w:p>
    <w:p>
      <w:pPr>
        <w:pStyle w:val="ListParagraph"/>
        <w:numPr>
          <w:ilvl w:val="0"/>
          <w:numId w:val="2"/>
        </w:numPr>
      </w:pPr>
      <w:r>
        <w:t>Cenario 8: pergunta deve distinguir entre valor base, valor corrigido, credito de SLA, credito por atraso e parcelas faturadas; a resposta correta depende da planilha e da clausula 4.</w:t>
      </w:r>
    </w:p>
    <w:p>
      <w:pPr>
        <w:pStyle w:val="ListParagraph"/>
        <w:numPr>
          <w:ilvl w:val="0"/>
          <w:numId w:val="2"/>
        </w:numPr>
      </w:pPr>
      <w:r>
        <w:t>Cenario 9: pergunta deve distinguir entre valor base, valor corrigido, credito de SLA, credito por atraso e parcelas faturadas; a resposta correta depende da planilha e da clausula 5.</w:t>
      </w:r>
    </w:p>
    <w:p>
      <w:pPr>
        <w:pStyle w:val="ListParagraph"/>
        <w:numPr>
          <w:ilvl w:val="0"/>
          <w:numId w:val="2"/>
        </w:numPr>
      </w:pPr>
      <w:r>
        <w:t>Cenario 10: pergunta deve distinguir entre valor base, valor corrigido, credito de SLA, credito por atraso e parcelas faturadas; a resposta correta depende da planilha e da clausula 6.</w:t>
      </w:r>
    </w:p>
    <w:p>
      <w:pPr>
        <w:pStyle w:val="ListParagraph"/>
        <w:numPr>
          <w:ilvl w:val="0"/>
          <w:numId w:val="2"/>
        </w:numPr>
      </w:pPr>
      <w:r>
        <w:t>Cenario 11: pergunta deve distinguir entre valor base, valor corrigido, credito de SLA, credito por atraso e parcelas faturadas; a resposta correta depende da planilha e da clausula 7.</w:t>
      </w:r>
    </w:p>
    <w:p>
      <w:pPr>
        <w:pStyle w:val="ListParagraph"/>
        <w:numPr>
          <w:ilvl w:val="0"/>
          <w:numId w:val="2"/>
        </w:numPr>
      </w:pPr>
      <w:r>
        <w:t>Cenario 12: pergunta deve distinguir entre valor base, valor corrigido, credito de SLA, credito por atraso e parcelas faturadas; a resposta correta depende da planilha e da clausula 8.</w:t>
      </w:r>
    </w:p>
    <w:p>
      <w:pPr>
        <w:pStyle w:val="ListParagraph"/>
        <w:numPr>
          <w:ilvl w:val="0"/>
          <w:numId w:val="2"/>
        </w:numPr>
      </w:pPr>
      <w:r>
        <w:t>Cenario 13: pergunta deve distinguir entre valor base, valor corrigido, credito de SLA, credito por atraso e parcelas faturadas; a resposta correta depende da planilha e da clausula 9.</w:t>
      </w:r>
    </w:p>
    <w:p>
      <w:pPr>
        <w:pStyle w:val="ListParagraph"/>
        <w:numPr>
          <w:ilvl w:val="0"/>
          <w:numId w:val="2"/>
        </w:numPr>
      </w:pPr>
      <w:r>
        <w:t>Cenario 14: pergunta deve distinguir entre valor base, valor corrigido, credito de SLA, credito por atraso e parcelas faturadas; a resposta correta depende da planilha e da clausula 10.</w:t>
      </w:r>
    </w:p>
    <w:p>
      <w:pPr>
        <w:pStyle w:val="ListParagraph"/>
        <w:numPr>
          <w:ilvl w:val="0"/>
          <w:numId w:val="2"/>
        </w:numPr>
      </w:pPr>
      <w:r>
        <w:t>Cenario 15: pergunta deve distinguir entre valor base, valor corrigido, credito de SLA, credito por atraso e parcelas faturadas; a resposta correta depende da planilha e da clausula 11.</w:t>
      </w:r>
    </w:p>
    <w:p>
      <w:pPr>
        <w:pStyle w:val="Heading1"/>
      </w:pPr>
      <w:r>
        <w:rPr>
          <w:sz w:val="22"/>
          <w:szCs w:val="22"/>
        </w:rPr>
        <w:t xml:space="preserve">Anexo II - Matriz de riscos, controles e gatilhos financeiros</w:t>
      </w:r>
    </w:p>
    <w:tbl>
      <w:tblPr>
        <w:tblW w:w="9360" w:type="dxa"/>
        <w:tblInd w:w="120" w:type="dxa"/>
        <w:tblBorders>
          <w:top w:val="single" w:sz="6" w:color="D0D7DE"/>
          <w:left w:val="single" w:sz="6" w:color="D0D7DE"/>
          <w:bottom w:val="single" w:sz="6" w:color="D0D7DE"/>
          <w:right w:val="single" w:sz="6" w:color="D0D7DE"/>
          <w:insideH w:val="single" w:sz="4" w:color="D0D7DE"/>
          <w:insideV w:val="single" w:sz="4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900"/>
        <w:gridCol w:w="900"/>
        <w:gridCol w:w="3700"/>
        <w:gridCol w:w="1660"/>
      </w:tblGrid>
      <w:tr>
        <w:tc>
          <w:tcPr>
            <w:tcW w:w="2200" w:type="dxa"/>
            <w:shd w:fill="F2F4F7"/>
          </w:tcPr>
          <w:p>
            <w:r>
              <w:rPr>
                <w:b/>
                <w:sz w:val="20"/>
                <w:szCs w:val="20"/>
              </w:rPr>
              <w:t xml:space="preserve">Risco</w:t>
            </w:r>
          </w:p>
        </w:tc>
        <w:tc>
          <w:tcPr>
            <w:tcW w:w="900" w:type="dxa"/>
            <w:shd w:fill="F2F4F7"/>
          </w:tcPr>
          <w:p>
            <w:r>
              <w:rPr>
                <w:b/>
                <w:sz w:val="20"/>
                <w:szCs w:val="20"/>
              </w:rPr>
              <w:t xml:space="preserve">Prob.</w:t>
            </w:r>
          </w:p>
        </w:tc>
        <w:tc>
          <w:tcPr>
            <w:tcW w:w="900" w:type="dxa"/>
            <w:shd w:fill="F2F4F7"/>
          </w:tcPr>
          <w:p>
            <w:r>
              <w:rPr>
                <w:b/>
                <w:sz w:val="20"/>
                <w:szCs w:val="20"/>
              </w:rPr>
              <w:t xml:space="preserve">Impacto</w:t>
            </w:r>
          </w:p>
        </w:tc>
        <w:tc>
          <w:tcPr>
            <w:tcW w:w="3700" w:type="dxa"/>
            <w:shd w:fill="F2F4F7"/>
          </w:tcPr>
          <w:p>
            <w:r>
              <w:rPr>
                <w:b/>
                <w:sz w:val="20"/>
                <w:szCs w:val="20"/>
              </w:rPr>
              <w:t xml:space="preserve">Controle primario</w:t>
            </w:r>
          </w:p>
        </w:tc>
        <w:tc>
          <w:tcPr>
            <w:tcW w:w="1660" w:type="dxa"/>
            <w:shd w:fill="F2F4F7"/>
          </w:tcPr>
          <w:p>
            <w:r>
              <w:rPr>
                <w:b/>
                <w:sz w:val="20"/>
                <w:szCs w:val="20"/>
              </w:rPr>
              <w:t xml:space="preserve">Ref. financeira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  <w:szCs w:val="20"/>
              </w:rPr>
              <w:t xml:space="preserve">Atraso no fornecimento de massa documental</w:t>
            </w:r>
          </w:p>
        </w:tc>
        <w:tc>
          <w:tcPr>
            <w:tcW w:w="900" w:type="dxa"/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w="900" w:type="dxa"/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w="3700" w:type="dxa"/>
          </w:tcPr>
          <w:p>
            <w:r>
              <w:rPr>
                <w:sz w:val="20"/>
                <w:szCs w:val="20"/>
              </w:rPr>
              <w:t xml:space="preserve">Suspensao de prazo por ata e fila de impedimentos</w:t>
            </w:r>
          </w:p>
        </w:tc>
        <w:tc>
          <w:tcPr>
            <w:tcW w:w="1660" w:type="dxa"/>
          </w:tcPr>
          <w:p>
            <w:r>
              <w:rPr>
                <w:sz w:val="20"/>
                <w:szCs w:val="20"/>
              </w:rPr>
              <w:t xml:space="preserve">Cronograma_Desembolso!F2:F6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  <w:szCs w:val="20"/>
              </w:rPr>
              <w:t xml:space="preserve">OCR abaixo da qualidade esperada</w:t>
            </w:r>
          </w:p>
        </w:tc>
        <w:tc>
          <w:tcPr>
            <w:tcW w:w="900" w:type="dxa"/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w="900" w:type="dxa"/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W w:w="3700" w:type="dxa"/>
          </w:tcPr>
          <w:p>
            <w:r>
              <w:rPr>
                <w:sz w:val="20"/>
                <w:szCs w:val="20"/>
              </w:rPr>
              <w:t xml:space="preserve">Amostra de paginas, fallback manual e exclusao justificada</w:t>
            </w:r>
          </w:p>
        </w:tc>
        <w:tc>
          <w:tcPr>
            <w:tcW w:w="1660" w:type="dxa"/>
          </w:tcPr>
          <w:p>
            <w:r>
              <w:rPr>
                <w:sz w:val="20"/>
                <w:szCs w:val="20"/>
              </w:rPr>
              <w:t xml:space="preserve">Custo_Perfis!D5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  <w:szCs w:val="20"/>
              </w:rPr>
              <w:t xml:space="preserve">Vazamento de contexto entre organizacoes</w:t>
            </w:r>
          </w:p>
        </w:tc>
        <w:tc>
          <w:tcPr>
            <w:tcW w:w="900" w:type="dxa"/>
          </w:tcPr>
          <w:p>
            <w:r>
              <w:rPr>
                <w:sz w:val="20"/>
                <w:szCs w:val="20"/>
              </w:rPr>
              <w:t xml:space="preserve">Baixa</w:t>
            </w:r>
          </w:p>
        </w:tc>
        <w:tc>
          <w:tcPr>
            <w:tcW w:w="900" w:type="dxa"/>
          </w:tcPr>
          <w:p>
            <w:r>
              <w:rPr>
                <w:sz w:val="20"/>
                <w:szCs w:val="20"/>
              </w:rPr>
              <w:t xml:space="preserve">Critico</w:t>
            </w:r>
          </w:p>
        </w:tc>
        <w:tc>
          <w:tcPr>
            <w:tcW w:w="3700" w:type="dxa"/>
          </w:tcPr>
          <w:p>
            <w:r>
              <w:rPr>
                <w:sz w:val="20"/>
                <w:szCs w:val="20"/>
              </w:rPr>
              <w:t xml:space="preserve">Testes RBAC, filtros obrigatorios e auditoria por QueryLog</w:t>
            </w:r>
          </w:p>
        </w:tc>
        <w:tc>
          <w:tcPr>
            <w:tcW w:w="1660" w:type="dxa"/>
          </w:tcPr>
          <w:p>
            <w:r>
              <w:rPr>
                <w:sz w:val="20"/>
                <w:szCs w:val="20"/>
              </w:rPr>
              <w:t xml:space="preserve">Premissas!B8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  <w:szCs w:val="20"/>
              </w:rPr>
              <w:t xml:space="preserve">Escopo de integracao nao documentado</w:t>
            </w:r>
          </w:p>
        </w:tc>
        <w:tc>
          <w:tcPr>
            <w:tcW w:w="900" w:type="dxa"/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w="900" w:type="dxa"/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w="3700" w:type="dxa"/>
          </w:tcPr>
          <w:p>
            <w:r>
              <w:rPr>
                <w:sz w:val="20"/>
                <w:szCs w:val="20"/>
              </w:rPr>
              <w:t xml:space="preserve">Ordem de mudanca com impacto em prazo e custo</w:t>
            </w:r>
          </w:p>
        </w:tc>
        <w:tc>
          <w:tcPr>
            <w:tcW w:w="1660" w:type="dxa"/>
          </w:tcPr>
          <w:p>
            <w:r>
              <w:rPr>
                <w:sz w:val="20"/>
                <w:szCs w:val="20"/>
              </w:rPr>
              <w:t xml:space="preserve">Premissas!B3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  <w:szCs w:val="20"/>
              </w:rPr>
              <w:t xml:space="preserve">Modelo local saturado em horario de pico</w:t>
            </w:r>
          </w:p>
        </w:tc>
        <w:tc>
          <w:tcPr>
            <w:tcW w:w="900" w:type="dxa"/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w="900" w:type="dxa"/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W w:w="3700" w:type="dxa"/>
          </w:tcPr>
          <w:p>
            <w:r>
              <w:rPr>
                <w:sz w:val="20"/>
                <w:szCs w:val="20"/>
              </w:rPr>
              <w:t xml:space="preserve">Fila, timeout, cache de resposta e telemetria por etapa</w:t>
            </w:r>
          </w:p>
        </w:tc>
        <w:tc>
          <w:tcPr>
            <w:tcW w:w="1660" w:type="dxa"/>
          </w:tcPr>
          <w:p>
            <w:r>
              <w:rPr>
                <w:sz w:val="20"/>
                <w:szCs w:val="20"/>
              </w:rPr>
              <w:t xml:space="preserve">SLA_Creditos!D2:D5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  <w:szCs w:val="20"/>
              </w:rPr>
              <w:t xml:space="preserve">Dependencia de provedor externo indisponivel</w:t>
            </w:r>
          </w:p>
        </w:tc>
        <w:tc>
          <w:tcPr>
            <w:tcW w:w="900" w:type="dxa"/>
          </w:tcPr>
          <w:p>
            <w:r>
              <w:rPr>
                <w:sz w:val="20"/>
                <w:szCs w:val="20"/>
              </w:rPr>
              <w:t xml:space="preserve">Baixa</w:t>
            </w:r>
          </w:p>
        </w:tc>
        <w:tc>
          <w:tcPr>
            <w:tcW w:w="900" w:type="dxa"/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w="3700" w:type="dxa"/>
          </w:tcPr>
          <w:p>
            <w:r>
              <w:rPr>
                <w:sz w:val="20"/>
                <w:szCs w:val="20"/>
              </w:rPr>
              <w:t xml:space="preserve">Plano de contingencia e janela aprovada</w:t>
            </w:r>
          </w:p>
        </w:tc>
        <w:tc>
          <w:tcPr>
            <w:tcW w:w="1660" w:type="dxa"/>
          </w:tcPr>
          <w:p>
            <w:r>
              <w:rPr>
                <w:sz w:val="20"/>
                <w:szCs w:val="20"/>
              </w:rPr>
              <w:t xml:space="preserve">Clausula 7.3</w:t>
            </w:r>
          </w:p>
        </w:tc>
      </w:tr>
    </w:tbl>
    <w:p>
      <w:pPr>
        <w:pStyle w:val="Heading1"/>
      </w:pPr>
      <w:r>
        <w:rPr>
          <w:sz w:val="22"/>
          <w:szCs w:val="22"/>
        </w:rPr>
        <w:t xml:space="preserve">Anexo III - Regras interpretativas para respostas de RAG</w:t>
      </w:r>
    </w:p>
    <w:p>
      <w:pPr>
        <w:pStyle w:val="ListParagraph"/>
        <w:numPr>
          <w:ilvl w:val="0"/>
          <w:numId w:val="1"/>
        </w:numPr>
      </w:pPr>
      <w:r>
        <w:t>Quando a pergunta mencionar valor total sem qualificador, a resposta deve apresentar o valor base e explicar que contingencia, reajuste, creditos e SLA podem alterar o liquido.</w:t>
      </w:r>
    </w:p>
    <w:p>
      <w:pPr>
        <w:pStyle w:val="ListParagraph"/>
        <w:numPr>
          <w:ilvl w:val="0"/>
          <w:numId w:val="1"/>
        </w:numPr>
      </w:pPr>
      <w:r>
        <w:t>Quando houver conflito entre narrativa contratual e planilha, o sistema deve citar ambos e indicar que a planilha esclarece memoria de calculo, mas nao altera clausula juridica sem aditivo.</w:t>
      </w:r>
    </w:p>
    <w:p>
      <w:pPr>
        <w:pStyle w:val="ListParagraph"/>
        <w:numPr>
          <w:ilvl w:val="0"/>
          <w:numId w:val="1"/>
        </w:numPr>
      </w:pPr>
      <w:r>
        <w:t>Quando o usuario perguntar por atraso, deve-se distinguir atraso de marco, atraso por impedimento do Contratante e atraso de fornecedor externo excluido do SLA.</w:t>
      </w:r>
    </w:p>
    <w:p>
      <w:pPr>
        <w:pStyle w:val="ListParagraph"/>
        <w:numPr>
          <w:ilvl w:val="0"/>
          <w:numId w:val="1"/>
        </w:numPr>
      </w:pPr>
      <w:r>
        <w:t>Quando uma pergunta exigir celulas especificas, a resposta deve mencionar aba, intervalo e formula, por exemplo Cronograma_Desembolso!G2:G6.</w:t>
      </w:r>
    </w:p>
    <w:p>
      <w:pPr>
        <w:pStyle w:val="ListParagraph"/>
        <w:numPr>
          <w:ilvl w:val="0"/>
          <w:numId w:val="1"/>
        </w:numPr>
      </w:pPr>
      <w:r>
        <w:t>Quando a pergunta envolver imagem, deve-se usar a legenda e a descricao extraida da imagem como apoio, sem inventar marcos ausentes.</w:t>
      </w:r>
    </w:p>
    <w:p>
      <w:pPr>
        <w:pStyle w:val="ListParagraph"/>
        <w:numPr>
          <w:ilvl w:val="0"/>
          <w:numId w:val="1"/>
        </w:numPr>
      </w:pPr>
      <w:r>
        <w:t>Quando o documento nao contiver base suficiente, a resposta correta e declarar ausencia de fonte, nao inferir por pratica de mercado.</w:t>
      </w:r>
    </w:p>
    <w:p>
      <w:pPr>
        <w:pStyle w:val="Heading1"/>
      </w:pPr>
      <w:r>
        <w:rPr>
          <w:sz w:val="22"/>
          <w:szCs w:val="22"/>
        </w:rPr>
        <w:t xml:space="preserve">Anexo IV - Condicoes especiais extensas</w:t>
      </w:r>
    </w:p>
    <w:p>
      <w:r>
        <w:rPr>
          <w:sz w:val="22"/>
          <w:szCs w:val="22"/>
        </w:rPr>
        <w:t xml:space="preserve">Condicao especial 1. Para fins de teste, esta disposicao cria uma dependencia cruzada entre clausulas contratuais, planilha e arquitetura. A obrigacao somente sera exigivel quando o evento disparador estiver documentado no EventLog, houver evidencia de aceite ou rejeicao e a memoria financeira puder ser reproduzida a partir das abas Premissas, Cronograma_Desembolso, Custo_Perfis e SLA_Creditos. Caso a evidencia seja parcial, a parte interessada devera complementar os registros antes de requerer penalidade, faturamento, suspensao de prazo ou alteracao de escopo.</w:t>
      </w:r>
    </w:p>
    <w:p>
      <w:r>
        <w:rPr>
          <w:sz w:val="22"/>
          <w:szCs w:val="22"/>
        </w:rPr>
        <w:t xml:space="preserve">Condicao especial 2. Para fins de teste, esta disposicao cria uma dependencia cruzada entre clausulas contratuais, planilha e arquitetura. A obrigacao somente sera exigivel quando o evento disparador estiver documentado no EventLog, houver evidencia de aceite ou rejeicao e a memoria financeira puder ser reproduzida a partir das abas Premissas, Cronograma_Desembolso, Custo_Perfis e SLA_Creditos. Caso a evidencia seja parcial, a parte interessada devera complementar os registros antes de requerer penalidade, faturamento, suspensao de prazo ou alteracao de escopo.</w:t>
      </w:r>
    </w:p>
    <w:p>
      <w:r>
        <w:rPr>
          <w:sz w:val="22"/>
          <w:szCs w:val="22"/>
        </w:rPr>
        <w:t xml:space="preserve">Condicao especial 3. Para fins de teste, esta disposicao cria uma dependencia cruzada entre clausulas contratuais, planilha e arquitetura. A obrigacao somente sera exigivel quando o evento disparador estiver documentado no EventLog, houver evidencia de aceite ou rejeicao e a memoria financeira puder ser reproduzida a partir das abas Premissas, Cronograma_Desembolso, Custo_Perfis e SLA_Creditos. Caso a evidencia seja parcial, a parte interessada devera complementar os registros antes de requerer penalidade, faturamento, suspensao de prazo ou alteracao de escopo.</w:t>
      </w:r>
    </w:p>
    <w:p>
      <w:r>
        <w:rPr>
          <w:sz w:val="22"/>
          <w:szCs w:val="22"/>
        </w:rPr>
        <w:t xml:space="preserve">Condicao especial 4. Para fins de teste, esta disposicao cria uma dependencia cruzada entre clausulas contratuais, planilha e arquitetura. A obrigacao somente sera exigivel quando o evento disparador estiver documentado no EventLog, houver evidencia de aceite ou rejeicao e a memoria financeira puder ser reproduzida a partir das abas Premissas, Cronograma_Desembolso, Custo_Perfis e SLA_Creditos. Caso a evidencia seja parcial, a parte interessada devera complementar os registros antes de requerer penalidade, faturamento, suspensao de prazo ou alteracao de escopo.</w:t>
      </w:r>
    </w:p>
    <w:p>
      <w:r>
        <w:rPr>
          <w:sz w:val="22"/>
          <w:szCs w:val="22"/>
        </w:rPr>
        <w:t xml:space="preserve">Condicao especial 5. Para fins de teste, esta disposicao cria uma dependencia cruzada entre clausulas contratuais, planilha e arquitetura. A obrigacao somente sera exigivel quando o evento disparador estiver documentado no EventLog, houver evidencia de aceite ou rejeicao e a memoria financeira puder ser reproduzida a partir das abas Premissas, Cronograma_Desembolso, Custo_Perfis e SLA_Creditos. Caso a evidencia seja parcial, a parte interessada devera complementar os registros antes de requerer penalidade, faturamento, suspensao de prazo ou alteracao de escopo.</w:t>
      </w:r>
    </w:p>
    <w:p>
      <w:r>
        <w:rPr>
          <w:sz w:val="22"/>
          <w:szCs w:val="22"/>
        </w:rPr>
        <w:t xml:space="preserve">Condicao especial 6. Para fins de teste, esta disposicao cria uma dependencia cruzada entre clausulas contratuais, planilha e arquitetura. A obrigacao somente sera exigivel quando o evento disparador estiver documentado no EventLog, houver evidencia de aceite ou rejeicao e a memoria financeira puder ser reproduzida a partir das abas Premissas, Cronograma_Desembolso, Custo_Perfis e SLA_Creditos. Caso a evidencia seja parcial, a parte interessada devera complementar os registros antes de requerer penalidade, faturamento, suspensao de prazo ou alteracao de escopo.</w:t>
      </w:r>
    </w:p>
    <w:p>
      <w:r>
        <w:rPr>
          <w:sz w:val="22"/>
          <w:szCs w:val="22"/>
        </w:rPr>
        <w:t xml:space="preserve">Condicao especial 7. Para fins de teste, esta disposicao cria uma dependencia cruzada entre clausulas contratuais, planilha e arquitetura. A obrigacao somente sera exigivel quando o evento disparador estiver documentado no EventLog, houver evidencia de aceite ou rejeicao e a memoria financeira puder ser reproduzida a partir das abas Premissas, Cronograma_Desembolso, Custo_Perfis e SLA_Creditos. Caso a evidencia seja parcial, a parte interessada devera complementar os registros antes de requerer penalidade, faturamento, suspensao de prazo ou alteracao de escopo.</w:t>
      </w:r>
    </w:p>
    <w:p>
      <w:r>
        <w:rPr>
          <w:sz w:val="22"/>
          <w:szCs w:val="22"/>
        </w:rPr>
        <w:t xml:space="preserve">Condicao especial 8. Para fins de teste, esta disposicao cria uma dependencia cruzada entre clausulas contratuais, planilha e arquitetura. A obrigacao somente sera exigivel quando o evento disparador estiver documentado no EventLog, houver evidencia de aceite ou rejeicao e a memoria financeira puder ser reproduzida a partir das abas Premissas, Cronograma_Desembolso, Custo_Perfis e SLA_Creditos. Caso a evidencia seja parcial, a parte interessada devera complementar os registros antes de requerer penalidade, faturamento, suspensao de prazo ou alteracao de escopo.</w:t>
      </w:r>
    </w:p>
    <w:p>
      <w:r>
        <w:rPr>
          <w:sz w:val="22"/>
          <w:szCs w:val="22"/>
        </w:rPr>
        <w:t xml:space="preserve">Condicao especial 9. Para fins de teste, esta disposicao cria uma dependencia cruzada entre clausulas contratuais, planilha e arquitetura. A obrigacao somente sera exigivel quando o evento disparador estiver documentado no EventLog, houver evidencia de aceite ou rejeicao e a memoria financeira puder ser reproduzida a partir das abas Premissas, Cronograma_Desembolso, Custo_Perfis e SLA_Creditos. Caso a evidencia seja parcial, a parte interessada devera complementar os registros antes de requerer penalidade, faturamento, suspensao de prazo ou alteracao de escopo.</w:t>
      </w:r>
    </w:p>
    <w:p>
      <w:r>
        <w:rPr>
          <w:sz w:val="22"/>
          <w:szCs w:val="22"/>
        </w:rPr>
        <w:t xml:space="preserve">Condicao especial 10. Para fins de teste, esta disposicao cria uma dependencia cruzada entre clausulas contratuais, planilha e arquitetura. A obrigacao somente sera exigivel quando o evento disparador estiver documentado no EventLog, houver evidencia de aceite ou rejeicao e a memoria financeira puder ser reproduzida a partir das abas Premissas, Cronograma_Desembolso, Custo_Perfis e SLA_Creditos. Caso a evidencia seja parcial, a parte interessada devera complementar os registros antes de requerer penalidade, faturamento, suspensao de prazo ou alteracao de escopo.</w:t>
      </w:r>
    </w:p>
    <w:p>
      <w:r>
        <w:rPr>
          <w:sz w:val="22"/>
          <w:szCs w:val="22"/>
        </w:rPr>
        <w:t xml:space="preserve">Condicao especial 11. Para fins de teste, esta disposicao cria uma dependencia cruzada entre clausulas contratuais, planilha e arquitetura. A obrigacao somente sera exigivel quando o evento disparador estiver documentado no EventLog, houver evidencia de aceite ou rejeicao e a memoria financeira puder ser reproduzida a partir das abas Premissas, Cronograma_Desembolso, Custo_Perfis e SLA_Creditos. Caso a evidencia seja parcial, a parte interessada devera complementar os registros antes de requerer penalidade, faturamento, suspensao de prazo ou alteracao de escopo.</w:t>
      </w:r>
    </w:p>
    <w:p>
      <w:r>
        <w:rPr>
          <w:sz w:val="22"/>
          <w:szCs w:val="22"/>
        </w:rPr>
        <w:t xml:space="preserve">Condicao especial 12. Para fins de teste, esta disposicao cria uma dependencia cruzada entre clausulas contratuais, planilha e arquitetura. A obrigacao somente sera exigivel quando o evento disparador estiver documentado no EventLog, houver evidencia de aceite ou rejeicao e a memoria financeira puder ser reproduzida a partir das abas Premissas, Cronograma_Desembolso, Custo_Perfis e SLA_Creditos. Caso a evidencia seja parcial, a parte interessada devera complementar os registros antes de requerer penalidade, faturamento, suspensao de prazo ou alteracao de escopo.</w:t>
      </w:r>
    </w:p>
    <w:p>
      <w:r>
        <w:rPr>
          <w:sz w:val="22"/>
          <w:szCs w:val="22"/>
        </w:rPr>
        <w:t xml:space="preserve">Condicao especial 13. Para fins de teste, esta disposicao cria uma dependencia cruzada entre clausulas contratuais, planilha e arquitetura. A obrigacao somente sera exigivel quando o evento disparador estiver documentado no EventLog, houver evidencia de aceite ou rejeicao e a memoria financeira puder ser reproduzida a partir das abas Premissas, Cronograma_Desembolso, Custo_Perfis e SLA_Creditos. Caso a evidencia seja parcial, a parte interessada devera complementar os registros antes de requerer penalidade, faturamento, suspensao de prazo ou alteracao de escopo.</w:t>
      </w:r>
    </w:p>
    <w:p>
      <w:r>
        <w:rPr>
          <w:sz w:val="22"/>
          <w:szCs w:val="22"/>
        </w:rPr>
        <w:t xml:space="preserve">Condicao especial 14. Para fins de teste, esta disposicao cria uma dependencia cruzada entre clausulas contratuais, planilha e arquitetura. A obrigacao somente sera exigivel quando o evento disparador estiver documentado no EventLog, houver evidencia de aceite ou rejeicao e a memoria financeira puder ser reproduzida a partir das abas Premissas, Cronograma_Desembolso, Custo_Perfis e SLA_Creditos. Caso a evidencia seja parcial, a parte interessada devera complementar os registros antes de requerer penalidade, faturamento, suspensao de prazo ou alteracao de escopo.</w:t>
      </w:r>
    </w:p>
    <w:p>
      <w:r>
        <w:rPr>
          <w:sz w:val="22"/>
          <w:szCs w:val="22"/>
        </w:rPr>
        <w:t xml:space="preserve">Condicao especial 15. Para fins de teste, esta disposicao cria uma dependencia cruzada entre clausulas contratuais, planilha e arquitetura. A obrigacao somente sera exigivel quando o evento disparador estiver documentado no EventLog, houver evidencia de aceite ou rejeicao e a memoria financeira puder ser reproduzida a partir das abas Premissas, Cronograma_Desembolso, Custo_Perfis e SLA_Creditos. Caso a evidencia seja parcial, a parte interessada devera complementar os registros antes de requerer penalidade, faturamento, suspensao de prazo ou alteracao de escopo.</w:t>
      </w:r>
    </w:p>
    <w:p>
      <w:r>
        <w:rPr>
          <w:sz w:val="22"/>
          <w:szCs w:val="22"/>
        </w:rPr>
        <w:t xml:space="preserve">Condicao especial 16. Para fins de teste, esta disposicao cria uma dependencia cruzada entre clausulas contratuais, planilha e arquitetura. A obrigacao somente sera exigivel quando o evento disparador estiver documentado no EventLog, houver evidencia de aceite ou rejeicao e a memoria financeira puder ser reproduzida a partir das abas Premissas, Cronograma_Desembolso, Custo_Perfis e SLA_Creditos. Caso a evidencia seja parcial, a parte interessada devera complementar os registros antes de requerer penalidade, faturamento, suspensao de prazo ou alteracao de escopo.</w:t>
      </w:r>
    </w:p>
    <w:p>
      <w:r>
        <w:rPr>
          <w:sz w:val="22"/>
          <w:szCs w:val="22"/>
        </w:rPr>
        <w:t xml:space="preserve">Condicao especial 17. Para fins de teste, esta disposicao cria uma dependencia cruzada entre clausulas contratuais, planilha e arquitetura. A obrigacao somente sera exigivel quando o evento disparador estiver documentado no EventLog, houver evidencia de aceite ou rejeicao e a memoria financeira puder ser reproduzida a partir das abas Premissas, Cronograma_Desembolso, Custo_Perfis e SLA_Creditos. Caso a evidencia seja parcial, a parte interessada devera complementar os registros antes de requerer penalidade, faturamento, suspensao de prazo ou alteracao de escopo.</w:t>
      </w:r>
    </w:p>
    <w:p>
      <w:r>
        <w:rPr>
          <w:sz w:val="22"/>
          <w:szCs w:val="22"/>
        </w:rPr>
        <w:t xml:space="preserve">Condicao especial 18. Para fins de teste, esta disposicao cria uma dependencia cruzada entre clausulas contratuais, planilha e arquitetura. A obrigacao somente sera exigivel quando o evento disparador estiver documentado no EventLog, houver evidencia de aceite ou rejeicao e a memoria financeira puder ser reproduzida a partir das abas Premissas, Cronograma_Desembolso, Custo_Perfis e SLA_Creditos. Caso a evidencia seja parcial, a parte interessada devera complementar os registros antes de requerer penalidade, faturamento, suspensao de prazo ou alteracao de escopo.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  <w:abstractNum w:abstractNumId="2">
    <w:lvl w:ilvl="0">
      <w:start w:val="1"/>
      <w:numFmt w:val="decimal"/>
      <w:lvlText w:val="%1."/>
      <w:lvlJc w:val="left"/>
      <w:pPr>
        <w:ind w:left="72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64" w:lineRule="auto"/>
    </w:pPr>
    <w:rPr>
      <w:rFonts w:ascii="Calibri" w:hAnsi="Calibri"/>
      <w:sz w:val="22"/>
    </w:rPr>
  </w:style>
  <w:style w:type="paragraph" w:styleId="Title">
    <w:name w:val="Title"/>
    <w:basedOn w:val="Normal"/>
    <w:qFormat/>
    <w:pPr>
      <w:spacing w:after="160"/>
    </w:pPr>
    <w:rPr>
      <w:b/>
      <w:color w:val="0B2545"/>
      <w:sz w:val="34"/>
    </w:rPr>
  </w:style>
  <w:style w:type="paragraph" w:styleId="Subtitle">
    <w:name w:val="Subtitle"/>
    <w:basedOn w:val="Normal"/>
    <w:qFormat/>
    <w:pPr>
      <w:spacing w:after="180"/>
    </w:pPr>
    <w:rPr>
      <w:color w:val="555555"/>
      <w:sz w:val="22"/>
    </w:rPr>
  </w:style>
  <w:style w:type="paragraph" w:styleId="Heading1">
    <w:name w:val="heading 1"/>
    <w:basedOn w:val="Normal"/>
    <w:qFormat/>
    <w:pPr>
      <w:keepNext/>
      <w:spacing w:before="320" w:after="160"/>
    </w:pPr>
    <w:rPr>
      <w:b/>
      <w:color w:val="2E74B5"/>
      <w:sz w:val="32"/>
    </w:rPr>
  </w:style>
  <w:style w:type="paragraph" w:styleId="Heading2">
    <w:name w:val="heading 2"/>
    <w:basedOn w:val="Normal"/>
    <w:qFormat/>
    <w:pPr>
      <w:keepNext/>
      <w:spacing w:before="240" w:after="120"/>
    </w:pPr>
    <w:rPr>
      <w:b/>
      <w:color w:val="2E74B5"/>
      <w:sz w:val="26"/>
    </w:rPr>
  </w:style>
  <w:style w:type="paragraph" w:styleId="Heading3">
    <w:name w:val="heading 3"/>
    <w:basedOn w:val="Normal"/>
    <w:qFormat/>
    <w:pPr>
      <w:keepNext/>
      <w:spacing w:before="160" w:after="80"/>
    </w:pPr>
    <w:rPr>
      <w:b/>
      <w:color w:val="1F4D78"/>
      <w:sz w:val="24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Img1" Type="http://schemas.openxmlformats.org/officeDocument/2006/relationships/image" Target="media/marcos-contratuais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Codex RAG Test Generator</dc:creator>
  <dc:title>contrato-desenvolvimento-sistemas-rag</dc:title>
  <dc:subject>Conjunto sintetico para testes de RAG</dc:subject>
  <dc:description>Documento complexo com clausulas, tabelas, imagens e referencias cruzadas.</dc:description>
  <cp:keywords>RAG; contrato; arquitetura; planilha; OCR; imagem; tabela</cp:keywords>
  <dcterms:created xsi:type="dcterms:W3CDTF">2026-07-11T12:00:00Z</dcterms:created>
</cp:coreProperties>
</file>