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officeDocument/2006/relationships/extended-properties" Target="docProps/app.xml" Id="rId4" /><Relationship Type="http://schemas.openxmlformats.org/officeDocument/2006/relationships/officeDocument" Target="word/document.xml" Id="rId1" /><Relationship Type="http://schemas.openxmlformats.org/package/2006/relationships/metadata/thumbnail" Target="docProps/thumbnail.jpeg" Id="rId2" /><Relationship Type="http://schemas.openxmlformats.org/officeDocument/2006/relationships/custom-properties" Target="/docProps/custom.xml" Id="Rc5715f53e1b84702" /></Relationships>
</file>

<file path=word/document.xml><?xml version="1.0" encoding="utf-8"?>
<w:document xmlns:mc="http://schemas.openxmlformats.org/markup-compatibility/2006" xmlns:w="http://schemas.openxmlformats.org/wordprocessingml/2006/main" xmlns:w14="http://schemas.microsoft.com/office/word/2010/wordml" xmlns:wp14="http://schemas.microsoft.com/office/word/2010/wordprocessingDrawing" mc:Ignorable="w14 wp14">
  <w:body xmlns:mc="http://schemas.openxmlformats.org/markup-compatibility/2006" xmlns:w="http://schemas.openxmlformats.org/wordprocessingml/2006/main" xmlns:w14="http://schemas.microsoft.com/office/word/2010/wordml" xmlns:wp14="http://schemas.microsoft.com/office/word/2010/wordprocessingDrawing">
    <w:p w14:paraId="00100000" w14:textId="00100001">
      <w:pPr>
        <w:jc w:val="center"/>
      </w:pPr>
      <w:r>
        <w:rPr>
          <w:rFonts w:ascii="Times New Roman" w:hAnsi="Times New Roman" w:cs="Times New Roman"/>
          <w:b/>
          <w:i w:val="0"/>
          <w:color w:val="000000"/>
          <w:sz w:val="28"/>
        </w:rPr>
        <w:t>Response to Reviewer 2 Comments</w:t>
      </w:r>
    </w:p>
    <w:p w14:paraId="00100002" w14:textId="00100003">
      <w:pPr>
        <w:jc w:val="center"/>
      </w:pPr>
      <w:r>
        <w:rPr>
          <w:rFonts w:ascii="Times New Roman" w:hAnsi="Times New Roman" w:cs="Times New Roman"/>
          <w:b w:val="0"/>
          <w:i/>
          <w:color w:val="000000"/>
          <w:sz w:val="18"/>
        </w:rPr>
        <w:t>Manuscript ID: symmetry-4339980 | Symmetry</w:t>
      </w:r>
    </w:p>
    <w:p w14:paraId="00100004" w14:textId="00100005">
      <w:pPr>
        <w:jc w:val="center"/>
      </w:pPr>
      <w:r>
        <w:rPr>
          <w:rFonts w:ascii="Times New Roman" w:hAnsi="Times New Roman" w:cs="Times New Roman"/>
          <w:b w:val="0"/>
          <w:i/>
          <w:color w:val="000000"/>
          <w:sz w:val="18"/>
        </w:rPr>
        <w:t>Multi-Granularity Feature Decomposition with Ranking-Aware Regularization for Old Film Restoration</w:t>
      </w:r>
    </w:p>
    <w:p w14:paraId="00100006" w14:textId="00100007">
      <w:pPr>
        <w:spacing w:before="200" w:after="80"/>
      </w:pPr>
      <w:r>
        <w:rPr>
          <w:rFonts w:ascii="Times New Roman" w:hAnsi="Times New Roman" w:cs="Times New Roman"/>
          <w:b/>
          <w:i w:val="0"/>
          <w:color w:val="000000"/>
          <w:sz w:val="24"/>
        </w:rPr>
        <w:t>1. Summary</w:t>
      </w:r>
    </w:p>
    <w:p w14:paraId="00100008" w14:textId="0010027E">
      <w:pPr>
        <w:spacing w:before="0" w:after="120"/>
      </w:pPr>
      <w:r>
        <w:rPr>
          <w:rFonts w:ascii="Times New Roman" w:hAnsi="Times New Roman" w:cs="Times New Roman"/>
          <w:b w:val="0"/>
          <w:i w:val="0"/>
          <w:color w:val="FF0000"/>
          <w:sz w:val="21"/>
        </w:rPr>
        <w:t xml:space="preserve">We thank Reviewer 2 for the positive and constructive assessment, and for recognizing that the topic is relevant and timely, the framework technically interesting, the formulation sound, and the results promising. This response records: (1) strengthened theoretical justification of representation symmetry; (2) frozen average-fusion MgfrOFR evidence for the main SRWOV comparison plus measured ablation and sensitivity evidence centered on the submitted model; (3) complexity evidence under a unified L40 benchmark protocol; and (4) restored full-method qualitative Figures 4 and 5 while keeping branch-balance validation limited to the figures present in the final source package.</w:t>
      </w:r>
    </w:p>
    <w:p w14:paraId="0010000A" w14:textId="00100297">
      <w:pPr>
        <w:spacing w:before="200" w:after="80"/>
      </w:pPr>
      <w:r>
        <w:rPr>
          <w:rFonts w:ascii="Times New Roman" w:hAnsi="Times New Roman" w:cs="Times New Roman"/>
          <w:b/>
          <w:color w:val="000000"/>
          <w:sz w:val="24"/>
        </w:rPr>
        <w:t xml:space="preserve">2. Questions for General Evaluation</w:t>
      </w:r>
    </w:p>
    <w:tbl>
      <w:tblPr>
        <w:tblStyle w:val="TableGrid"/>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tblPr>
      <w:tblGrid>
        <w:gridCol w:w="4320"/>
        <w:gridCol w:w="4320"/>
      </w:tblGrid>
      <w:tr>
        <w:tc>
          <w:tcPr>
            <w:tcW w:w="4320" w:type="dxa"/>
            <w:shd w:val="clear" w:fill="D9D9D9"/>
          </w:tcPr>
          <w:p>
            <w:r>
              <w:rPr>
                <w:rFonts w:ascii="Times New Roman" w:hAnsi="Times New Roman" w:cs="Times New Roman"/>
                <w:b/>
                <w:color w:val="000000"/>
                <w:sz w:val="21"/>
              </w:rPr>
              <w:t xml:space="preserve">Reviewer's Evaluation</w:t>
            </w:r>
          </w:p>
        </w:tc>
        <w:tc>
          <w:tcPr>
            <w:tcW w:w="4320" w:type="dxa"/>
            <w:shd w:val="clear" w:fill="D9D9D9"/>
          </w:tcPr>
          <w:p>
            <w:r>
              <w:rPr>
                <w:rFonts w:ascii="Times New Roman" w:hAnsi="Times New Roman" w:cs="Times New Roman"/>
                <w:b/>
                <w:color w:val="000000"/>
                <w:sz w:val="21"/>
              </w:rPr>
              <w:t xml:space="preserve">Response and Revisions</w:t>
            </w:r>
          </w:p>
        </w:tc>
      </w:tr>
      <w:tr>
        <w:tc>
          <w:tcPr>
            <w:tcW w:w="4320" w:type="dxa"/>
          </w:tcPr>
          <w:p>
            <w:pPr>
              <w:spacing w:after="80"/>
            </w:pPr>
            <w:r>
              <w:rPr>
                <w:rFonts w:ascii="Times New Roman" w:hAnsi="Times New Roman" w:cs="Times New Roman"/>
                <w:color w:val="000000"/>
                <w:sz w:val="21"/>
              </w:rPr>
              <w:t xml:space="preserve">Does the introduction provide sufficient background and include all relevant references?</w:t>
            </w:r>
          </w:p>
          <w:p>
            <w:pPr>
              <w:spacing w:after="80"/>
            </w:pPr>
            <w:r>
              <w:rPr>
                <w:rFonts w:ascii="Times New Roman" w:hAnsi="Times New Roman" w:cs="Times New Roman"/>
                <w:color w:val="000000"/>
                <w:sz w:val="16"/>
              </w:rPr>
              <w:t xml:space="preserve">( ) Yes  ( ) Can be improved  ( ) Must be improved  ( ) Not applicable</w:t>
            </w:r>
          </w:p>
          <w:p>
            <w:pPr>
              <w:spacing w:after="80"/>
            </w:pPr>
            <w:r>
              <w:rPr>
                <w:rFonts w:ascii="Times New Roman" w:hAnsi="Times New Roman" w:cs="Times New Roman"/>
                <w:color w:val="000000"/>
                <w:sz w:val="18"/>
              </w:rPr>
              <w:t xml:space="preserve">Reviewer's rating: </w:t>
            </w:r>
            <w:r>
              <w:rPr>
                <w:rFonts w:ascii="Times New Roman" w:hAnsi="Times New Roman" w:cs="Times New Roman"/>
                <w:b/>
                <w:color w:val="000000"/>
                <w:sz w:val="18"/>
              </w:rPr>
              <w:t xml:space="preserve">Can be improved</w:t>
            </w:r>
          </w:p>
        </w:tc>
        <w:tc>
          <w:tcPr>
            <w:tcW w:w="4320" w:type="dxa"/>
          </w:tcPr>
          <w:p>
            <w:pPr>
              <w:spacing w:after="80"/>
            </w:pPr>
            <w:r>
              <w:rPr>
                <w:rFonts w:ascii="Times New Roman" w:hAnsi="Times New Roman" w:cs="Times New Roman"/>
                <w:color w:val="FF0000"/>
                <w:sz w:val="21"/>
              </w:rPr>
              <w:t xml:space="preserve">We thank the reviewer. We shortened repetitive Introduction material and clarified the representation-symmetry scope with formal invariance properties; please see Responses 1 and 6.</w:t>
            </w:r>
          </w:p>
        </w:tc>
      </w:tr>
      <w:tr>
        <w:tc>
          <w:tcPr>
            <w:tcW w:w="4320" w:type="dxa"/>
          </w:tcPr>
          <w:p>
            <w:pPr>
              <w:spacing w:after="80"/>
            </w:pPr>
            <w:r>
              <w:rPr>
                <w:rFonts w:ascii="Times New Roman" w:hAnsi="Times New Roman" w:cs="Times New Roman"/>
                <w:color w:val="000000"/>
                <w:sz w:val="21"/>
              </w:rPr>
              <w:t xml:space="preserve">Is the research design appropriate?</w:t>
            </w:r>
          </w:p>
          <w:p>
            <w:pPr>
              <w:spacing w:after="80"/>
            </w:pPr>
            <w:r>
              <w:rPr>
                <w:rFonts w:ascii="Times New Roman" w:hAnsi="Times New Roman" w:cs="Times New Roman"/>
                <w:color w:val="000000"/>
                <w:sz w:val="16"/>
              </w:rPr>
              <w:t xml:space="preserve">( ) Yes  ( ) Can be improved  ( ) Must be improved  ( ) Not applicable</w:t>
            </w:r>
          </w:p>
          <w:p>
            <w:pPr>
              <w:spacing w:after="80"/>
            </w:pPr>
            <w:r>
              <w:rPr>
                <w:rFonts w:ascii="Times New Roman" w:hAnsi="Times New Roman" w:cs="Times New Roman"/>
                <w:color w:val="000000"/>
                <w:sz w:val="18"/>
              </w:rPr>
              <w:t xml:space="preserve">Reviewer's rating: </w:t>
            </w:r>
            <w:r>
              <w:rPr>
                <w:rFonts w:ascii="Times New Roman" w:hAnsi="Times New Roman" w:cs="Times New Roman"/>
                <w:b/>
                <w:color w:val="000000"/>
                <w:sz w:val="18"/>
              </w:rPr>
              <w:t xml:space="preserve">Yes</w:t>
            </w:r>
          </w:p>
        </w:tc>
        <w:tc>
          <w:tcPr>
            <w:tcW w:w="4320" w:type="dxa"/>
          </w:tcPr>
          <w:p>
            <w:pPr>
              <w:spacing w:after="80"/>
            </w:pPr>
            <w:r>
              <w:rPr>
                <w:rFonts w:ascii="Times New Roman" w:hAnsi="Times New Roman" w:cs="Times New Roman"/>
                <w:color w:val="FF0000"/>
                <w:sz w:val="21"/>
              </w:rPr>
              <w:t xml:space="preserve">We thank the reviewer. We retained the main research design and strengthened its support with final average-fusion MgfrOFR evidence, sensitivity controls, and a unified benchmark protocol; please see Responses 3 and 4.</w:t>
            </w:r>
          </w:p>
        </w:tc>
      </w:tr>
      <w:tr>
        <w:tc>
          <w:tcPr>
            <w:tcW w:w="4320" w:type="dxa"/>
          </w:tcPr>
          <w:p>
            <w:pPr>
              <w:spacing w:after="80"/>
            </w:pPr>
            <w:r>
              <w:rPr>
                <w:rFonts w:ascii="Times New Roman" w:hAnsi="Times New Roman" w:cs="Times New Roman"/>
                <w:color w:val="000000"/>
                <w:sz w:val="21"/>
              </w:rPr>
              <w:t xml:space="preserve">Are the methods adequately described?</w:t>
            </w:r>
          </w:p>
          <w:p>
            <w:pPr>
              <w:spacing w:after="80"/>
            </w:pPr>
            <w:r>
              <w:rPr>
                <w:rFonts w:ascii="Times New Roman" w:hAnsi="Times New Roman" w:cs="Times New Roman"/>
                <w:color w:val="000000"/>
                <w:sz w:val="16"/>
              </w:rPr>
              <w:t xml:space="preserve">( ) Yes  ( ) Can be improved  ( ) Must be improved  ( ) Not applicable</w:t>
            </w:r>
          </w:p>
          <w:p>
            <w:pPr>
              <w:spacing w:after="80"/>
            </w:pPr>
            <w:r>
              <w:rPr>
                <w:rFonts w:ascii="Times New Roman" w:hAnsi="Times New Roman" w:cs="Times New Roman"/>
                <w:color w:val="000000"/>
                <w:sz w:val="18"/>
              </w:rPr>
              <w:t xml:space="preserve">Reviewer's rating: </w:t>
            </w:r>
            <w:r>
              <w:rPr>
                <w:rFonts w:ascii="Times New Roman" w:hAnsi="Times New Roman" w:cs="Times New Roman"/>
                <w:b/>
                <w:color w:val="000000"/>
                <w:sz w:val="18"/>
              </w:rPr>
              <w:t xml:space="preserve">Can be improved</w:t>
            </w:r>
          </w:p>
        </w:tc>
        <w:tc>
          <w:tcPr>
            <w:tcW w:w="4320" w:type="dxa"/>
          </w:tcPr>
          <w:p>
            <w:pPr>
              <w:spacing w:after="80"/>
            </w:pPr>
            <w:r>
              <w:rPr>
                <w:rFonts w:ascii="Times New Roman" w:hAnsi="Times New Roman" w:cs="Times New Roman"/>
                <w:color w:val="FF0000"/>
                <w:sz w:val="21"/>
              </w:rPr>
              <w:t xml:space="preserve">We thank the reviewer. We clarified the RATR properties, Equations (14) and (23), token initialization and insertion, hyperparameter selection, and code availability; please see Responses 1, 5, and 7.</w:t>
            </w:r>
          </w:p>
        </w:tc>
      </w:tr>
      <w:tr>
        <w:tc>
          <w:tcPr>
            <w:tcW w:w="4320" w:type="dxa"/>
          </w:tcPr>
          <w:p>
            <w:pPr>
              <w:spacing w:after="80"/>
            </w:pPr>
            <w:r>
              <w:rPr>
                <w:rFonts w:ascii="Times New Roman" w:hAnsi="Times New Roman" w:cs="Times New Roman"/>
                <w:color w:val="000000"/>
                <w:sz w:val="21"/>
              </w:rPr>
              <w:t xml:space="preserve">Are the results clearly presented?</w:t>
            </w:r>
          </w:p>
          <w:p>
            <w:pPr>
              <w:spacing w:after="80"/>
            </w:pPr>
            <w:r>
              <w:rPr>
                <w:rFonts w:ascii="Times New Roman" w:hAnsi="Times New Roman" w:cs="Times New Roman"/>
                <w:color w:val="000000"/>
                <w:sz w:val="16"/>
              </w:rPr>
              <w:t xml:space="preserve">( ) Yes  ( ) Can be improved  ( ) Must be improved  ( ) Not applicable</w:t>
            </w:r>
          </w:p>
          <w:p>
            <w:pPr>
              <w:spacing w:after="80"/>
            </w:pPr>
            <w:r>
              <w:rPr>
                <w:rFonts w:ascii="Times New Roman" w:hAnsi="Times New Roman" w:cs="Times New Roman"/>
                <w:color w:val="000000"/>
                <w:sz w:val="18"/>
              </w:rPr>
              <w:t xml:space="preserve">Reviewer's rating: </w:t>
            </w:r>
            <w:r>
              <w:rPr>
                <w:rFonts w:ascii="Times New Roman" w:hAnsi="Times New Roman" w:cs="Times New Roman"/>
                <w:b/>
                <w:color w:val="000000"/>
                <w:sz w:val="18"/>
              </w:rPr>
              <w:t xml:space="preserve">Yes</w:t>
            </w:r>
          </w:p>
        </w:tc>
        <w:tc>
          <w:tcPr>
            <w:tcW w:w="4320" w:type="dxa"/>
          </w:tcPr>
          <w:p>
            <w:pPr>
              <w:spacing w:after="80"/>
            </w:pPr>
            <w:r>
              <w:rPr>
                <w:rFonts w:ascii="Times New Roman" w:hAnsi="Times New Roman" w:cs="Times New Roman"/>
                <w:color w:val="FF0000"/>
                <w:sz w:val="21"/>
              </w:rPr>
              <w:t xml:space="preserve">We thank the reviewer. We added direct RATR validation, updated the ablation interpretation, extended significance tests to LPIPS and DISTS, and restored qualitative comparisons; please see Responses 2, 3, 7, and 8.</w:t>
            </w:r>
          </w:p>
        </w:tc>
      </w:tr>
      <w:tr>
        <w:tc>
          <w:tcPr>
            <w:tcW w:w="4320" w:type="dxa"/>
          </w:tcPr>
          <w:p>
            <w:pPr>
              <w:spacing w:after="80"/>
            </w:pPr>
            <w:r>
              <w:rPr>
                <w:rFonts w:ascii="Times New Roman" w:hAnsi="Times New Roman" w:cs="Times New Roman"/>
                <w:color w:val="000000"/>
                <w:sz w:val="21"/>
              </w:rPr>
              <w:t xml:space="preserve">Are the conclusions supported by the results?</w:t>
            </w:r>
          </w:p>
          <w:p>
            <w:pPr>
              <w:spacing w:after="80"/>
            </w:pPr>
            <w:r>
              <w:rPr>
                <w:rFonts w:ascii="Times New Roman" w:hAnsi="Times New Roman" w:cs="Times New Roman"/>
                <w:color w:val="000000"/>
                <w:sz w:val="16"/>
              </w:rPr>
              <w:t xml:space="preserve">( ) Yes  ( ) Can be improved  ( ) Must be improved  ( ) Not applicable</w:t>
            </w:r>
          </w:p>
          <w:p>
            <w:pPr>
              <w:spacing w:after="80"/>
            </w:pPr>
            <w:r>
              <w:rPr>
                <w:rFonts w:ascii="Times New Roman" w:hAnsi="Times New Roman" w:cs="Times New Roman"/>
                <w:color w:val="000000"/>
                <w:sz w:val="18"/>
              </w:rPr>
              <w:t xml:space="preserve">Reviewer's rating: </w:t>
            </w:r>
            <w:r>
              <w:rPr>
                <w:rFonts w:ascii="Times New Roman" w:hAnsi="Times New Roman" w:cs="Times New Roman"/>
                <w:b/>
                <w:color w:val="000000"/>
                <w:sz w:val="18"/>
              </w:rPr>
              <w:t xml:space="preserve">Yes</w:t>
            </w:r>
          </w:p>
        </w:tc>
        <w:tc>
          <w:tcPr>
            <w:tcW w:w="4320" w:type="dxa"/>
          </w:tcPr>
          <w:p>
            <w:pPr>
              <w:spacing w:after="80"/>
            </w:pPr>
            <w:r>
              <w:rPr>
                <w:rFonts w:ascii="Times New Roman" w:hAnsi="Times New Roman" w:cs="Times New Roman"/>
                <w:color w:val="FF0000"/>
                <w:sz w:val="21"/>
              </w:rPr>
              <w:t xml:space="preserve">We thank the reviewer. We kept the conclusions conservative and scoped to the validated final configuration and evidence; please see Responses 3 and 4.</w:t>
            </w:r>
          </w:p>
        </w:tc>
      </w:tr>
      <w:tr>
        <w:tc>
          <w:tcPr>
            <w:tcW w:w="4320" w:type="dxa"/>
          </w:tcPr>
          <w:p>
            <w:pPr>
              <w:spacing w:after="80"/>
            </w:pPr>
            <w:r>
              <w:rPr>
                <w:rFonts w:ascii="Times New Roman" w:hAnsi="Times New Roman" w:cs="Times New Roman"/>
                <w:color w:val="000000"/>
                <w:sz w:val="21"/>
              </w:rPr>
              <w:t xml:space="preserve">Are all figures and tables clear and well-presented?</w:t>
            </w:r>
          </w:p>
          <w:p>
            <w:pPr>
              <w:spacing w:after="80"/>
            </w:pPr>
            <w:r>
              <w:rPr>
                <w:rFonts w:ascii="Times New Roman" w:hAnsi="Times New Roman" w:cs="Times New Roman"/>
                <w:color w:val="000000"/>
                <w:sz w:val="16"/>
              </w:rPr>
              <w:t xml:space="preserve">( ) Yes  ( ) Can be improved  ( ) Must be improved  ( ) Not applicable</w:t>
            </w:r>
          </w:p>
          <w:p>
            <w:pPr>
              <w:spacing w:after="80"/>
            </w:pPr>
            <w:r>
              <w:rPr>
                <w:rFonts w:ascii="Times New Roman" w:hAnsi="Times New Roman" w:cs="Times New Roman"/>
                <w:color w:val="000000"/>
                <w:sz w:val="18"/>
              </w:rPr>
              <w:t xml:space="preserve">Reviewer's rating: </w:t>
            </w:r>
            <w:r>
              <w:rPr>
                <w:rFonts w:ascii="Times New Roman" w:hAnsi="Times New Roman" w:cs="Times New Roman"/>
                <w:b/>
                <w:color w:val="000000"/>
                <w:sz w:val="18"/>
              </w:rPr>
              <w:t xml:space="preserve">Can be improved</w:t>
            </w:r>
          </w:p>
        </w:tc>
        <w:tc>
          <w:tcPr>
            <w:tcW w:w="4320" w:type="dxa"/>
          </w:tcPr>
          <w:p>
            <w:pPr>
              <w:spacing w:after="80"/>
            </w:pPr>
            <w:r>
              <w:rPr>
                <w:rFonts w:ascii="Times New Roman" w:hAnsi="Times New Roman" w:cs="Times New Roman"/>
                <w:color w:val="FF0000"/>
                <w:sz w:val="21"/>
              </w:rPr>
              <w:t xml:space="preserve">We thank the reviewer. We restored Figures 4 and 5, checked reference formatting, and kept the final tables and figures aligned with the revised manuscript; please see Responses 8 and 9.</w:t>
            </w:r>
          </w:p>
        </w:tc>
      </w:tr>
    </w:tbl>
    <w:p w14:paraId="00100040" w14:textId="00100041">
      <w:pPr>
        <w:spacing w:before="200" w:after="80"/>
      </w:pPr>
      <w:r>
        <w:rPr>
          <w:rFonts w:ascii="Times New Roman" w:hAnsi="Times New Roman" w:cs="Times New Roman"/>
          <w:b/>
          <w:i w:val="0"/>
          <w:color w:val="000000"/>
          <w:sz w:val="24"/>
        </w:rPr>
        <w:t>3. Point-by-point response to Comments and Suggestions for Authors</w:t>
      </w:r>
    </w:p>
    <w:p w14:paraId="00100042" w14:textId="00100043">
      <w:pPr>
        <w:spacing w:before="160" w:after="80"/>
      </w:pPr>
      <w:r>
        <w:rPr>
          <w:rFonts w:ascii="Times New Roman" w:hAnsi="Times New Roman" w:cs="Times New Roman"/>
          <w:b/>
          <w:i w:val="0"/>
          <w:color w:val="000000"/>
          <w:sz w:val="21"/>
        </w:rPr>
        <w:t xml:space="preserve">Comments 1: </w:t>
      </w:r>
      <w:r>
        <w:rPr>
          <w:rFonts w:ascii="Times New Roman" w:hAnsi="Times New Roman" w:cs="Times New Roman"/>
          <w:b w:val="0"/>
          <w:i w:val="0"/>
          <w:color w:val="000000"/>
          <w:sz w:val="21"/>
        </w:rPr>
        <w:t>The main weakness concerns the connection to the journal's scope. The concept of "representation symmetry" is introduced as a balance among restoration branches, but its relationship to traditional notions of symmetry remains unclear. The authors should strengthen the theoretical justification of this concept and clarify how it contributes to symmetry-oriented research.</w:t>
      </w:r>
    </w:p>
    <w:p w14:paraId="00100044" w14:textId="00100045">
      <w:pPr>
        <w:spacing w:after="80"/>
      </w:pPr>
      <w:r>
        <w:rPr>
          <w:rFonts w:ascii="Times New Roman" w:hAnsi="Times New Roman" w:cs="Times New Roman"/>
          <w:b/>
          <w:i w:val="0"/>
          <w:color w:val="FF0000"/>
          <w:sz w:val="21"/>
        </w:rPr>
        <w:t xml:space="preserve">Response 1: </w:t>
      </w:r>
    </w:p>
    <w:p w14:paraId="00100046" w14:textId="00100047">
      <w:pPr>
        <w:spacing w:before="0" w:after="120"/>
      </w:pPr>
      <w:r>
        <w:rPr>
          <w:rFonts w:ascii="Times New Roman" w:hAnsi="Times New Roman" w:cs="Times New Roman"/>
          <w:b w:val="0"/>
          <w:i w:val="0"/>
          <w:color w:val="FF0000"/>
          <w:sz w:val="21"/>
        </w:rPr>
        <w:t>We thank the reviewer for this core concern and agree that the original wording needed to be more precise. We now adopt a two-layer argument (formal invariance plus honest scope narrowing). Property 1 states that the RATR objective is invariant under branch permutation because DiffKendall is symmetric and the loss sums over unordered branch pairs; Property 2 states that the descriptor average is invariant under forward/backward direction swap. We add a "Symmetry versus balancing" paragraph that distinguishes balancing as an engineered outcome from symmetry as a structural property of the objective. We also add a "Scope of the claim" paragraph honestly stating that we mean functional/representation-level symmetry, not geometric symmetry.</w:t>
      </w:r>
    </w:p>
    <w:p w14:paraId="00100048" w14:textId="00100049">
      <w:pPr>
        <w:spacing w:after="80"/>
      </w:pPr>
      <w:r>
        <w:rPr>
          <w:rFonts w:ascii="Times New Roman" w:hAnsi="Times New Roman" w:cs="Times New Roman"/>
          <w:b/>
          <w:i/>
          <w:color w:val="FF0000"/>
          <w:sz w:val="21"/>
        </w:rPr>
        <w:t xml:space="preserve">Revision made: </w:t>
      </w:r>
    </w:p>
    <w:p w14:paraId="0010004A" w14:textId="0010004B">
      <w:pPr>
        <w:spacing w:before="0" w:after="120"/>
      </w:pPr>
      <w:r>
        <w:rPr>
          <w:rFonts w:ascii="Times New Roman" w:hAnsi="Times New Roman" w:cs="Times New Roman"/>
          <w:b w:val="0"/>
          <w:i w:val="0"/>
          <w:color w:val="FF0000"/>
          <w:sz w:val="21"/>
        </w:rPr>
        <w:t>Revised Method Section 3.7 (Property 1/Property 2, symmetry-versus-balancing, scope-of-claim); aligned the Introduction definition of symmetry and updated Related Work Section 2.3.</w:t>
      </w:r>
    </w:p>
    <w:p w14:paraId="0010004C" w14:textId="0010004D">
      <w:pPr>
        <w:spacing w:before="160" w:after="80"/>
      </w:pPr>
      <w:r>
        <w:rPr>
          <w:rFonts w:ascii="Times New Roman" w:hAnsi="Times New Roman" w:cs="Times New Roman"/>
          <w:b/>
          <w:i w:val="0"/>
          <w:color w:val="000000"/>
          <w:sz w:val="21"/>
        </w:rPr>
        <w:t xml:space="preserve">Comments 2: </w:t>
      </w:r>
      <w:r>
        <w:rPr>
          <w:rFonts w:ascii="Times New Roman" w:hAnsi="Times New Roman" w:cs="Times New Roman"/>
          <w:b w:val="0"/>
          <w:i w:val="0"/>
          <w:color w:val="000000"/>
          <w:sz w:val="21"/>
        </w:rPr>
        <w:t>The validation of the RATR module should be strengthened. The evidence remains largely indirect; additional analyses, such as branch-specific activation visualizations, feature-response studies, or similarity evolution during training, would help demonstrate that the branches learn complementary restoration information rather than merely decorrelated representations.</w:t>
      </w:r>
    </w:p>
    <w:p w14:paraId="0010004E" w14:textId="0010004F">
      <w:pPr>
        <w:spacing w:after="80"/>
      </w:pPr>
      <w:r>
        <w:rPr>
          <w:rFonts w:ascii="Times New Roman" w:hAnsi="Times New Roman" w:cs="Times New Roman"/>
          <w:b/>
          <w:i w:val="0"/>
          <w:color w:val="FF0000"/>
          <w:sz w:val="21"/>
        </w:rPr>
        <w:t xml:space="preserve">Response 2: </w:t>
      </w:r>
    </w:p>
    <w:p w14:paraId="00100050" w14:textId="001000BA">
      <w:pPr>
        <w:spacing w:before="0" w:after="120"/>
      </w:pPr>
      <w:r>
        <w:rPr>
          <w:rFonts w:ascii="Times New Roman" w:hAnsi="Times New Roman" w:cs="Times New Roman"/>
          <w:b w:val="0"/>
          <w:i w:val="0"/>
          <w:color w:val="FF0000"/>
          <w:sz w:val="21"/>
        </w:rPr>
        <w:t xml:space="preserve">We thank the reviewer for pushing us to provide more direct evidence. We complement the quantitative ablation with direct visual evidence: branch-similarity maps and pixel-domain error maps comparing the MGFE-only configuration with the full MgfrOFR model. These analyses show that RATR keeps the granularity branches complementary rather than merely decorrelated in name.</w:t>
      </w:r>
    </w:p>
    <w:p w14:paraId="00100052" w14:textId="00100053">
      <w:pPr>
        <w:spacing w:after="80"/>
      </w:pPr>
      <w:r>
        <w:rPr>
          <w:rFonts w:ascii="Times New Roman" w:hAnsi="Times New Roman" w:cs="Times New Roman"/>
          <w:b/>
          <w:i/>
          <w:color w:val="FF0000"/>
          <w:sz w:val="21"/>
        </w:rPr>
        <w:t xml:space="preserve">Revision made: </w:t>
      </w:r>
    </w:p>
    <w:p w14:paraId="00100054" w14:textId="001000BB">
      <w:pPr>
        <w:spacing w:before="0" w:after="120"/>
      </w:pPr>
      <w:r>
        <w:rPr>
          <w:rFonts w:ascii="Times New Roman" w:hAnsi="Times New Roman" w:cs="Times New Roman"/>
          <w:b w:val="0"/>
          <w:i w:val="0"/>
          <w:color w:val="FF0000"/>
          <w:sz w:val="21"/>
        </w:rPr>
        <w:t xml:space="preserve">Added branch-similarity and pixel-domain error-map figures from the same 30-clip REDS synthetic protocol. The related Discussion paragraph now reports the branch-similarity and error-map evidence that are present in the final source package.</w:t>
      </w:r>
    </w:p>
    <w:p w14:paraId="00100288" w14:textId="00100289">
      <w:r>
        <w:rPr>
          <w:b/>
        </w:rPr>
        <w:t>Evidence location: </w:t>
      </w:r>
      <w:r>
        <w:t xml:space="preserve">The RATR validation evidence is now described in Section 4.7 under “Branch Balance Analysis.” The revised manuscript discusses branch-similarity behavior and pixel-domain error maps to show that the branches become more complementary under RATR. We agree that the original response was too indirect, so we now point the reviewer to the specific manuscript discussion instead of reproducing a small table here.</w:t>
      </w:r>
    </w:p>
    <w:p w14:paraId="00100056" w14:textId="00100057">
      <w:pPr>
        <w:spacing w:before="160" w:after="80"/>
      </w:pPr>
      <w:r>
        <w:rPr>
          <w:rFonts w:ascii="Times New Roman" w:hAnsi="Times New Roman" w:cs="Times New Roman"/>
          <w:b/>
          <w:i w:val="0"/>
          <w:color w:val="000000"/>
          <w:sz w:val="21"/>
        </w:rPr>
        <w:t xml:space="preserve">Comments 3: </w:t>
      </w:r>
      <w:r>
        <w:rPr>
          <w:rFonts w:ascii="Times New Roman" w:hAnsi="Times New Roman" w:cs="Times New Roman"/>
          <w:b w:val="0"/>
          <w:i w:val="0"/>
          <w:color w:val="000000"/>
          <w:sz w:val="21"/>
        </w:rPr>
        <w:t>The ablation study deserves deeper discussion. In particular, the MGFE-only configuration improves PSNR while substantially degrading LPIPS and DISTS. This behavior appears consistent with the distortion–perception trade-off and should be discussed in greater detail, particularly to explain why MGFE alone improves reconstruction accuracy while degrading perceptual quality and how RATR mitigates this effect.</w:t>
      </w:r>
    </w:p>
    <w:p w14:paraId="00100058" w14:textId="00100059">
      <w:pPr>
        <w:spacing w:after="80"/>
      </w:pPr>
      <w:r>
        <w:rPr>
          <w:rFonts w:ascii="Times New Roman" w:hAnsi="Times New Roman" w:cs="Times New Roman"/>
          <w:b/>
          <w:i w:val="0"/>
          <w:color w:val="FF0000"/>
          <w:sz w:val="21"/>
        </w:rPr>
        <w:t xml:space="preserve">Response 3: </w:t>
      </w:r>
    </w:p>
    <w:p w14:paraId="0010005A" w14:textId="001000BC">
      <w:pPr>
        <w:spacing w:before="0" w:after="120"/>
      </w:pPr>
      <w:r>
        <w:rPr>
          <w:rFonts w:ascii="Times New Roman" w:hAnsi="Times New Roman" w:cs="Times New Roman"/>
          <w:b w:val="0"/>
          <w:i w:val="0"/>
          <w:color w:val="FF0000"/>
          <w:sz w:val="21"/>
        </w:rPr>
        <w:t xml:space="preserve">We thank the reviewer for pointing to the MGFE-only behavior. After correcting the baseline comparison to the same 30-clip protocol, the MGFE-only configuration improves the baseline but remains weaker than the full average-fusion MgfrOFR model on LPIPS and DISTS. We therefore revised the Discussion to avoid the unsupported "degrades relative to the baseline" wording and instead explain the evidence-supported conclusion: MGFE recalibration alone is beneficial but insufficient for the best fidelity-perception balance, while RATR plus average fusion gives the strongest combined result.</w:t>
      </w:r>
    </w:p>
    <w:p w14:paraId="0010005C" w14:textId="0010005D">
      <w:pPr>
        <w:spacing w:after="80"/>
      </w:pPr>
      <w:r>
        <w:rPr>
          <w:rFonts w:ascii="Times New Roman" w:hAnsi="Times New Roman" w:cs="Times New Roman"/>
          <w:b/>
          <w:i/>
          <w:color w:val="FF0000"/>
          <w:sz w:val="21"/>
        </w:rPr>
        <w:t xml:space="preserve">Revision made: </w:t>
      </w:r>
    </w:p>
    <w:p w14:paraId="0010005E" w14:textId="001000BD">
      <w:pPr>
        <w:spacing w:before="0" w:after="120"/>
      </w:pPr>
      <w:r>
        <w:rPr>
          <w:rFonts w:ascii="Times New Roman" w:hAnsi="Times New Roman" w:cs="Times New Roman"/>
          <w:b w:val="0"/>
          <w:i w:val="0"/>
          <w:color w:val="FF0000"/>
          <w:sz w:val="21"/>
        </w:rPr>
        <w:t xml:space="preserve">Expanded the Discussion and updated the ablation table, now ordered as MambaOFR baseline, +MGFE only, +RATR only, MgfrOFR (average fusion), and max-fusion control. The numeric tables are limited to measured entries, and descriptive public labels replace shorthand experiment IDs.</w:t>
      </w:r>
    </w:p>
    <w:p w14:paraId="0010028A" w14:textId="0010028B">
      <w:r>
        <w:rPr>
          <w:b/>
        </w:rPr>
        <w:t>Evidence location: </w:t>
      </w:r>
      <w:r>
        <w:t xml:space="preserve">The ablation evidence is reported in Section 4.4 (Ablation Study), and the interpretation is expanded in the Discussion under “MGFE–RATR Synergy for Branch Balance.” The manuscript now explains why MGFE-only improves fidelity but does not reach the full model’s fidelity–perception balance, and why RATR with average fusion gives the strongest combined result.</w:t>
      </w:r>
    </w:p>
    <w:p w14:paraId="00100060" w14:textId="00100061">
      <w:pPr>
        <w:spacing w:before="160" w:after="80"/>
      </w:pPr>
      <w:r>
        <w:rPr>
          <w:rFonts w:ascii="Times New Roman" w:hAnsi="Times New Roman" w:cs="Times New Roman"/>
          <w:b/>
          <w:i w:val="0"/>
          <w:color w:val="000000"/>
          <w:sz w:val="21"/>
        </w:rPr>
        <w:t xml:space="preserve">Comments 4: </w:t>
      </w:r>
      <w:r>
        <w:rPr>
          <w:rFonts w:ascii="Times New Roman" w:hAnsi="Times New Roman" w:cs="Times New Roman"/>
          <w:b w:val="0"/>
          <w:i w:val="0"/>
          <w:color w:val="000000"/>
          <w:sz w:val="21"/>
        </w:rPr>
        <w:t>Several design choices, including the number of branches, restoration tokens, and the use of progressive max fusion, are only briefly justified. Additional sensitivity analysis would strengthen confidence in the robustness of the proposed framework. Likewise, the claim of modest computational overhead should be supported by quantitative information on training complexity, memory consumption, training time, and parameter growth relative to the baseline model.</w:t>
      </w:r>
    </w:p>
    <w:p w14:paraId="00100062" w14:textId="00100063">
      <w:pPr>
        <w:spacing w:after="80"/>
      </w:pPr>
      <w:r>
        <w:rPr>
          <w:rFonts w:ascii="Times New Roman" w:hAnsi="Times New Roman" w:cs="Times New Roman"/>
          <w:b/>
          <w:i w:val="0"/>
          <w:color w:val="FF0000"/>
          <w:sz w:val="21"/>
        </w:rPr>
        <w:t xml:space="preserve">Response 4: </w:t>
      </w:r>
    </w:p>
    <w:p w14:paraId="00100064" w14:textId="001000BE">
      <w:pPr>
        <w:spacing w:before="0" w:after="120"/>
      </w:pPr>
      <w:r>
        <w:t>We thank the reviewer for requesting stronger sensitivity and complexity justification. Following the model-selection review, the submitted MgfrOFR model uses average fusion, and the earlier max-fusion configuration is retained only as a fusion-ablation control. We report granularity sensitivity across 4 tokens / 1 branch, 8 tokens / 2 branches, 12 tokens / 3 branches, and 16 tokens / 4 branches, together with lower ranking temperature, prepend token insertion, and max branch aggregation controls. We also report the complexity evidence in Section 4.6, including 8.754M parameters, 3107.8G FLOPs per seven-frame clip, 488.5 ms/clip latency, 14.3 FPS, and 0.61 GB peak memory for the final MgfrOFR configuration.</w:t>
      </w:r>
    </w:p>
    <w:p w14:paraId="00100066" w14:textId="00100067">
      <w:pPr>
        <w:spacing w:after="80"/>
      </w:pPr>
      <w:r>
        <w:rPr>
          <w:rFonts w:ascii="Times New Roman" w:hAnsi="Times New Roman" w:cs="Times New Roman"/>
          <w:b/>
          <w:i/>
          <w:color w:val="FF0000"/>
          <w:sz w:val="21"/>
        </w:rPr>
        <w:t xml:space="preserve">Revision made: </w:t>
      </w:r>
    </w:p>
    <w:p w14:paraId="00100068" w14:textId="001000B6">
      <w:pPr>
        <w:spacing w:before="0" w:after="120"/>
      </w:pPr>
      <w:r>
        <w:t>Sensitivity and design-ablation numbers are reported with descriptive row labels; Section 4.6 gives the complexity evidence with the benchmark setting and row-level measurement scope stated in the manuscript.</w:t>
      </w:r>
    </w:p>
    <w:p w14:paraId="0010028C" w14:textId="0010028D">
      <w:r>
        <w:rPr>
          <w:b/>
        </w:rPr>
        <w:t>Evidence location: </w:t>
      </w:r>
      <w:r>
        <w:t xml:space="preserve">The sensitivity evidence requested by the reviewer is now placed in Section 4.5 (Hyperparameter Sensitivity). It covers branch/token granularity, lower ranking temperature, token insertion, branch aggregation, and the max-fusion control. We also clarify there that these controls support robustness analysis and do not replace the submitted average-fusion MgfrOFR model.</w:t>
      </w:r>
    </w:p>
    <w:p w14:paraId="0010028E" w14:textId="0010028F">
      <w:r>
        <w:rPr>
          <w:b/>
        </w:rPr>
        <w:t>Evidence location: </w:t>
      </w:r>
      <w:r>
        <w:t xml:space="preserve">The computational-overhead evidence is now located in Section 4.6 (Complexity Analysis). That section reports the L40 FP32 benchmark protocol and the measured parameters, FLOPs, latency, FPS, and peak memory for the final average-fusion MgfrOFR configuration, so the practical overhead can be checked in the manuscript itself.</w:t>
      </w:r>
    </w:p>
    <w:p w14:paraId="0010006A" w14:textId="0010006B">
      <w:pPr>
        <w:spacing w:before="160" w:after="80"/>
      </w:pPr>
      <w:r>
        <w:rPr>
          <w:rFonts w:ascii="Times New Roman" w:hAnsi="Times New Roman" w:cs="Times New Roman"/>
          <w:b/>
          <w:i w:val="0"/>
          <w:color w:val="000000"/>
          <w:sz w:val="21"/>
        </w:rPr>
        <w:t xml:space="preserve">Comments 5: </w:t>
      </w:r>
      <w:r>
        <w:rPr>
          <w:rFonts w:ascii="Times New Roman" w:hAnsi="Times New Roman" w:cs="Times New Roman"/>
          <w:b w:val="0"/>
          <w:i w:val="0"/>
          <w:color w:val="000000"/>
          <w:sz w:val="21"/>
        </w:rPr>
        <w:t>Reproducibility could be improved by providing additional implementation details, including token initialization, insertion operator implementation, hyperparameter selection, and information regarding code availability.</w:t>
      </w:r>
    </w:p>
    <w:p w14:paraId="0010006C" w14:textId="0010006D">
      <w:pPr>
        <w:spacing w:after="80"/>
      </w:pPr>
      <w:r>
        <w:rPr>
          <w:rFonts w:ascii="Times New Roman" w:hAnsi="Times New Roman" w:cs="Times New Roman"/>
          <w:b/>
          <w:i w:val="0"/>
          <w:color w:val="FF0000"/>
          <w:sz w:val="21"/>
        </w:rPr>
        <w:t xml:space="preserve">Response 5: </w:t>
      </w:r>
    </w:p>
    <w:p w14:paraId="0010006E" w14:textId="0010006F">
      <w:pPr>
        <w:spacing w:before="0" w:after="120"/>
      </w:pPr>
      <w:r>
        <w:rPr>
          <w:rFonts w:ascii="Times New Roman" w:hAnsi="Times New Roman" w:cs="Times New Roman"/>
          <w:b w:val="0"/>
          <w:i w:val="0"/>
          <w:color w:val="FF0000"/>
          <w:sz w:val="21"/>
        </w:rPr>
        <w:t>We thank the reviewer for raising reproducibility. We provide the missing implementation details and a code-availability statement.</w:t>
      </w:r>
    </w:p>
    <w:p w14:paraId="00100070" w14:textId="00100071">
      <w:pPr>
        <w:spacing w:after="80"/>
      </w:pPr>
      <w:r>
        <w:rPr>
          <w:rFonts w:ascii="Times New Roman" w:hAnsi="Times New Roman" w:cs="Times New Roman"/>
          <w:b/>
          <w:i/>
          <w:color w:val="FF0000"/>
          <w:sz w:val="21"/>
        </w:rPr>
        <w:t xml:space="preserve">Revision made: </w:t>
      </w:r>
    </w:p>
    <w:p w14:paraId="00100072" w14:textId="00100073">
      <w:pPr>
        <w:spacing w:before="0" w:after="120"/>
      </w:pPr>
      <w:r>
        <w:rPr>
          <w:rFonts w:ascii="Times New Roman" w:hAnsi="Times New Roman" w:cs="Times New Roman"/>
          <w:b w:val="0"/>
          <w:i w:val="0"/>
          <w:color w:val="FF0000"/>
          <w:sz w:val="21"/>
        </w:rPr>
        <w:t xml:space="preserve">Added truncated-normal token initialization (standard deviation 0.02), token-insertion implementation details, hyperparameter selection rationale, and the code-availability statement to the Method and Data Availability sections.</w:t>
      </w:r>
    </w:p>
    <w:p w14:paraId="00100290" w14:textId="00100296">
      <w:r>
        <w:rPr>
          <w:b/>
        </w:rPr>
        <w:t>Evidence location: </w:t>
      </w:r>
      <w:r>
        <w:t xml:space="preserve">The reproducibility details are now distributed where they are most useful to the reader: token initialization and insertion are described in the MGFE subsection of Method Section 3; training settings and baseline adaptation are in Section 4.2; the selected average-fusion model is used consistently in Sections 4.3–4.6; and the code-availability statement is included in the manuscript end matter. We appreciate the reviewer’s point that these implementation details should not be left implicit.</w:t>
      </w:r>
    </w:p>
    <w:p w14:paraId="00100074" w14:textId="00100075">
      <w:pPr>
        <w:spacing w:before="160" w:after="80"/>
      </w:pPr>
      <w:r>
        <w:rPr>
          <w:rFonts w:ascii="Times New Roman" w:hAnsi="Times New Roman" w:cs="Times New Roman"/>
          <w:b/>
          <w:i w:val="0"/>
          <w:color w:val="000000"/>
          <w:sz w:val="21"/>
        </w:rPr>
        <w:t xml:space="preserve">Comments 6: </w:t>
      </w:r>
      <w:r>
        <w:rPr>
          <w:rFonts w:ascii="Times New Roman" w:hAnsi="Times New Roman" w:cs="Times New Roman"/>
          <w:b w:val="0"/>
          <w:i w:val="0"/>
          <w:color w:val="000000"/>
          <w:sz w:val="21"/>
        </w:rPr>
        <w:t>The Introduction could be shortened by reducing repetitive discussion of representation symmetry and branch balancing. Terminology should be used more consistently throughout the manuscript.</w:t>
      </w:r>
    </w:p>
    <w:p w14:paraId="00100076" w14:textId="00100077">
      <w:pPr>
        <w:spacing w:after="80"/>
      </w:pPr>
      <w:r>
        <w:rPr>
          <w:rFonts w:ascii="Times New Roman" w:hAnsi="Times New Roman" w:cs="Times New Roman"/>
          <w:b/>
          <w:i w:val="0"/>
          <w:color w:val="FF0000"/>
          <w:sz w:val="21"/>
        </w:rPr>
        <w:t xml:space="preserve">Response 6: </w:t>
      </w:r>
    </w:p>
    <w:p w14:paraId="00100078" w14:textId="00100079">
      <w:pPr>
        <w:spacing w:before="0" w:after="120"/>
      </w:pPr>
      <w:r>
        <w:rPr>
          <w:rFonts w:ascii="Times New Roman" w:hAnsi="Times New Roman" w:cs="Times New Roman"/>
          <w:b w:val="0"/>
          <w:i w:val="0"/>
          <w:color w:val="FF0000"/>
          <w:sz w:val="21"/>
        </w:rPr>
        <w:t>We agree the Introduction contained repetitive symmetry/branch-balancing discussion. We condensed the redundant passages and unified the terminology.</w:t>
      </w:r>
    </w:p>
    <w:p w14:paraId="0010007A" w14:textId="0010007B">
      <w:pPr>
        <w:spacing w:after="80"/>
      </w:pPr>
      <w:r>
        <w:rPr>
          <w:rFonts w:ascii="Times New Roman" w:hAnsi="Times New Roman" w:cs="Times New Roman"/>
          <w:b/>
          <w:i/>
          <w:color w:val="FF0000"/>
          <w:sz w:val="21"/>
        </w:rPr>
        <w:t xml:space="preserve">Revision made: </w:t>
      </w:r>
    </w:p>
    <w:p w14:paraId="0010007C" w14:textId="0010007D">
      <w:pPr>
        <w:spacing w:before="0" w:after="120"/>
      </w:pPr>
      <w:r>
        <w:rPr>
          <w:rFonts w:ascii="Times New Roman" w:hAnsi="Times New Roman" w:cs="Times New Roman"/>
          <w:b w:val="0"/>
          <w:i w:val="0"/>
          <w:color w:val="FF0000"/>
          <w:sz w:val="21"/>
        </w:rPr>
        <w:t>Condensed the Introduction and unified terminology across the manuscript.</w:t>
      </w:r>
    </w:p>
    <w:p w14:paraId="0010007E" w14:textId="0010007F">
      <w:pPr>
        <w:spacing w:before="160" w:after="80"/>
      </w:pPr>
      <w:r>
        <w:rPr>
          <w:rFonts w:ascii="Times New Roman" w:hAnsi="Times New Roman" w:cs="Times New Roman"/>
          <w:b/>
          <w:i w:val="0"/>
          <w:color w:val="000000"/>
          <w:sz w:val="21"/>
        </w:rPr>
        <w:t xml:space="preserve">Comments 7: </w:t>
      </w:r>
      <w:r>
        <w:rPr>
          <w:rFonts w:ascii="Times New Roman" w:hAnsi="Times New Roman" w:cs="Times New Roman"/>
          <w:b w:val="0"/>
          <w:i w:val="0"/>
          <w:color w:val="000000"/>
          <w:sz w:val="21"/>
        </w:rPr>
        <w:t>The discussion associated with Equations (14) and (23) could be further clarified. The interpretation of the "10% modulation" in Equation (14) would benefit from a more precise mathematical explanation, while Equation (23) relies on ranking information derived from only two temporal neighbors and would benefit from a brief justification of why this signal is sufficient for stable regularization. In addition, statistical significance testing should be extended beyond PSNR and SSIM to include LPIPS and DISTS.</w:t>
      </w:r>
    </w:p>
    <w:p w14:paraId="00100080" w14:textId="00100081">
      <w:pPr>
        <w:spacing w:after="80"/>
      </w:pPr>
      <w:r>
        <w:rPr>
          <w:rFonts w:ascii="Times New Roman" w:hAnsi="Times New Roman" w:cs="Times New Roman"/>
          <w:b/>
          <w:i w:val="0"/>
          <w:color w:val="FF0000"/>
          <w:sz w:val="21"/>
        </w:rPr>
        <w:t xml:space="preserve">Response 7: </w:t>
      </w:r>
    </w:p>
    <w:p w14:paraId="00100082" w14:textId="00100285">
      <w:pPr>
        <w:spacing w:before="0" w:after="120"/>
      </w:pPr>
      <w:r>
        <w:rPr>
          <w:rFonts w:ascii="Times New Roman" w:hAnsi="Times New Roman" w:cs="Times New Roman"/>
          <w:b w:val="0"/>
          <w:i w:val="0"/>
          <w:color w:val="FF0000"/>
          <w:sz w:val="21"/>
        </w:rPr>
        <w:t xml:space="preserve">We thank the reviewer for the three detailed points. Equation (14) now gives a precise mathematical definition of the modulation coefficient range and normalization. Equation (23) is justified by arguing that ranking signals from two temporal neighbors are sufficient for stable regularization. We report MgfrOFR vs. MambaOFR paired Wilcoxon tests under the same 30-clip REDS protocol: PSNR (p = 3.73 × 10⁻⁹), SSIM (p = 1.73 × 10⁻⁶), LPIPS (p = 1.86 × 10⁻⁹), and DISTS (p = 1.92 × 10⁻⁶) are all significant.</w:t>
      </w:r>
    </w:p>
    <w:p w14:paraId="00100084" w14:textId="00100085">
      <w:pPr>
        <w:spacing w:after="80"/>
      </w:pPr>
      <w:r>
        <w:rPr>
          <w:rFonts w:ascii="Times New Roman" w:hAnsi="Times New Roman" w:cs="Times New Roman"/>
          <w:b/>
          <w:i/>
          <w:color w:val="FF0000"/>
          <w:sz w:val="21"/>
        </w:rPr>
        <w:t xml:space="preserve">Revision made: </w:t>
      </w:r>
    </w:p>
    <w:p w14:paraId="00100086" w14:textId="0010027F">
      <w:pPr>
        <w:spacing w:before="0" w:after="120"/>
      </w:pPr>
      <w:r>
        <w:rPr>
          <w:rFonts w:ascii="Times New Roman" w:hAnsi="Times New Roman" w:cs="Times New Roman"/>
          <w:b w:val="0"/>
          <w:i w:val="0"/>
          <w:color w:val="FF0000"/>
          <w:sz w:val="21"/>
        </w:rPr>
        <w:t xml:space="preserve">Clarified Equations (14) and (23) in the Method section; expanded the significance analysis in the Results section to include PSNR, SSIM, LPIPS, and DISTS with the measurement scope stated explicitly.</w:t>
      </w:r>
    </w:p>
    <w:p w14:paraId="00100292" w14:textId="00100293">
      <w:r>
        <w:rPr>
          <w:b/>
        </w:rPr>
        <w:t>Evidence location: </w:t>
      </w:r>
      <w:r>
        <w:t xml:space="preserve">The clarification of Equations (14) and (23) is now in Method Section 3, and the expanded significance testing is in Section 4.3.1 immediately after Table 1. The manuscript reports paired Wilcoxon tests for PSNR, SSIM, LPIPS, and DISTS under the same 30-clip REDS synthetic protocol, so the statistical evidence is kept with the main quantitative comparison.</w:t>
      </w:r>
    </w:p>
    <w:p w14:paraId="00100088" w14:textId="00100089">
      <w:pPr>
        <w:spacing w:before="160" w:after="80"/>
      </w:pPr>
      <w:r>
        <w:rPr>
          <w:rFonts w:ascii="Times New Roman" w:hAnsi="Times New Roman" w:cs="Times New Roman"/>
          <w:b/>
          <w:i w:val="0"/>
          <w:color w:val="000000"/>
          <w:sz w:val="21"/>
        </w:rPr>
        <w:t xml:space="preserve">Comments 8: </w:t>
      </w:r>
      <w:r>
        <w:rPr>
          <w:rFonts w:ascii="Times New Roman" w:hAnsi="Times New Roman" w:cs="Times New Roman"/>
          <w:b w:val="0"/>
          <w:i w:val="0"/>
          <w:color w:val="000000"/>
          <w:sz w:val="21"/>
        </w:rPr>
        <w:t>The enlarged ROI regions in Figures 4 and 5 could be increased in size to facilitate visual comparison of fine restoration details.</w:t>
      </w:r>
    </w:p>
    <w:p w14:paraId="0010008A" w14:textId="0010008B">
      <w:pPr>
        <w:spacing w:after="80"/>
      </w:pPr>
      <w:r>
        <w:rPr>
          <w:rFonts w:ascii="Times New Roman" w:hAnsi="Times New Roman" w:cs="Times New Roman"/>
          <w:b/>
          <w:i w:val="0"/>
          <w:color w:val="FF0000"/>
          <w:sz w:val="21"/>
        </w:rPr>
        <w:t xml:space="preserve">Response 8: </w:t>
      </w:r>
    </w:p>
    <w:p w14:paraId="0010008C" w14:textId="001000B1">
      <w:pPr>
        <w:spacing w:before="0" w:after="120"/>
      </w:pPr>
      <w:r>
        <w:rPr>
          <w:rFonts w:ascii="Times New Roman" w:hAnsi="Times New Roman" w:cs="Times New Roman"/>
          <w:b w:val="0"/>
          <w:i w:val="0"/>
          <w:color w:val="FF0000"/>
          <w:sz w:val="21"/>
        </w:rPr>
        <w:t xml:space="preserve">We thank the reviewer for the suggestion. In response, Figures 4 and 5 have been restored as full-method comparison panels and enlarged through page-width MDPI layout. This keeps all compared methods visible and uses clearer captions to guide inspection of fine restoration details.</w:t>
      </w:r>
    </w:p>
    <w:p w14:paraId="0010008E" w14:textId="0010008F">
      <w:pPr>
        <w:spacing w:after="80"/>
      </w:pPr>
      <w:r>
        <w:rPr>
          <w:rFonts w:ascii="Times New Roman" w:hAnsi="Times New Roman" w:cs="Times New Roman"/>
          <w:b/>
          <w:i/>
          <w:color w:val="FF0000"/>
          <w:sz w:val="21"/>
        </w:rPr>
        <w:t xml:space="preserve">Revision made: </w:t>
      </w:r>
    </w:p>
    <w:p w14:paraId="00100090" w14:textId="00100281">
      <w:pPr>
        <w:spacing w:before="0" w:after="120"/>
      </w:pPr>
      <w:r>
        <w:rPr>
          <w:rFonts w:ascii="Times New Roman" w:hAnsi="Times New Roman" w:cs="Times New Roman"/>
          <w:b w:val="0"/>
          <w:i w:val="0"/>
          <w:color w:val="FF0000"/>
          <w:sz w:val="21"/>
        </w:rPr>
        <w:t xml:space="preserve">Updated Figures 4 and 5 in Section 4.3.3. The revised manuscript now includes Supplementary Video S1, a two-part side-by-side temporal comparison: REDS-synthetic clips with ground truth and per-frame PSNR, followed by real-world SRWOV clips annotated with the overall no-reference NIQE and BRISQUE.</w:t>
      </w:r>
    </w:p>
    <w:p w14:paraId="00100294" w14:textId="00100295">
      <w:r>
        <w:rPr>
          <w:b/>
        </w:rPr>
        <w:t>Evidence location: </w:t>
      </w:r>
      <w:r>
        <w:t xml:space="preserve">The enlarged qualitative comparisons are now in Section 4.3.3, with Figures 4 and 5 rendered as full-method comparison panels. Supplementary Video S1 provides temporal side-by-side comparisons, while Section 4.3.2 and Table 2 report the real-world no-reference metrics. The Discussion further explains the NIQE/BRISQUE versus CLIP-IQA+ trade-off so that the real-world claim remains appropriately scoped.</w:t>
      </w:r>
    </w:p>
    <w:p w14:paraId="00100092" w14:textId="00100093">
      <w:pPr>
        <w:spacing w:before="160" w:after="80"/>
      </w:pPr>
      <w:r>
        <w:rPr>
          <w:rFonts w:ascii="Times New Roman" w:hAnsi="Times New Roman" w:cs="Times New Roman"/>
          <w:b/>
          <w:i w:val="0"/>
          <w:color w:val="000000"/>
          <w:sz w:val="21"/>
        </w:rPr>
        <w:t xml:space="preserve">Comments 9: </w:t>
      </w:r>
      <w:r>
        <w:rPr>
          <w:rFonts w:ascii="Times New Roman" w:hAnsi="Times New Roman" w:cs="Times New Roman"/>
          <w:b w:val="0"/>
          <w:i w:val="0"/>
          <w:color w:val="000000"/>
          <w:sz w:val="21"/>
        </w:rPr>
        <w:t>The reference list is generally appropriate and relevant; however, a final check for formatting consistency according to MDPI guidelines is recommended.</w:t>
      </w:r>
    </w:p>
    <w:p w14:paraId="00100094" w14:textId="00100095">
      <w:pPr>
        <w:spacing w:after="80"/>
      </w:pPr>
      <w:r>
        <w:rPr>
          <w:rFonts w:ascii="Times New Roman" w:hAnsi="Times New Roman" w:cs="Times New Roman"/>
          <w:b/>
          <w:i w:val="0"/>
          <w:color w:val="FF0000"/>
          <w:sz w:val="21"/>
        </w:rPr>
        <w:t xml:space="preserve">Response 9: </w:t>
      </w:r>
    </w:p>
    <w:p w14:paraId="00100096" w14:textId="00100097">
      <w:pPr>
        <w:spacing w:before="0" w:after="120"/>
      </w:pPr>
      <w:r>
        <w:rPr>
          <w:rFonts w:ascii="Times New Roman" w:hAnsi="Times New Roman" w:cs="Times New Roman"/>
          <w:b w:val="0"/>
          <w:i w:val="0"/>
          <w:color w:val="FF0000"/>
          <w:sz w:val="21"/>
        </w:rPr>
        <w:t>We thank the reviewer. We performed a final consistency check of the reference list against MDPI guidelines.</w:t>
      </w:r>
    </w:p>
    <w:p w14:paraId="00100098" w14:textId="00100099">
      <w:pPr>
        <w:spacing w:after="80"/>
      </w:pPr>
      <w:r>
        <w:rPr>
          <w:rFonts w:ascii="Times New Roman" w:hAnsi="Times New Roman" w:cs="Times New Roman"/>
          <w:b/>
          <w:i/>
          <w:color w:val="FF0000"/>
          <w:sz w:val="21"/>
        </w:rPr>
        <w:t xml:space="preserve">Revision made: </w:t>
      </w:r>
    </w:p>
    <w:p w14:paraId="0010009A" w14:textId="00100280">
      <w:pPr>
        <w:spacing w:before="0" w:after="120"/>
      </w:pPr>
      <w:r>
        <w:rPr>
          <w:rFonts w:ascii="Times New Roman" w:hAnsi="Times New Roman" w:cs="Times New Roman"/>
          <w:b w:val="0"/>
          <w:i w:val="0"/>
          <w:color w:val="FF0000"/>
          <w:sz w:val="21"/>
        </w:rPr>
        <w:t xml:space="preserve">Checked the reference list formatting against MDPI style and verified that the LaTeX compilation produces no bibliography warnings.</w:t>
      </w:r>
    </w:p>
    <w:p w14:paraId="0010009C" w14:textId="0010009D">
      <w:pPr>
        <w:spacing w:before="160" w:after="80"/>
      </w:pPr>
      <w:r>
        <w:rPr>
          <w:rFonts w:ascii="Times New Roman" w:hAnsi="Times New Roman" w:cs="Times New Roman"/>
          <w:b/>
          <w:i w:val="0"/>
          <w:color w:val="000000"/>
          <w:sz w:val="21"/>
        </w:rPr>
        <w:t xml:space="preserve">Comments 10: </w:t>
      </w:r>
      <w:r>
        <w:rPr>
          <w:rFonts w:ascii="Times New Roman" w:hAnsi="Times New Roman" w:cs="Times New Roman"/>
          <w:b w:val="0"/>
          <w:i w:val="0"/>
          <w:color w:val="000000"/>
          <w:sz w:val="21"/>
        </w:rPr>
        <w:t>The manuscript is written in clear academic English and is generally easy to follow. Nevertheless, moderate proofreading is recommended to improve consistency of terminology, reduce repetition, and shorten several overly long sentences.</w:t>
      </w:r>
    </w:p>
    <w:p w14:paraId="0010009E" w14:textId="0010009F">
      <w:pPr>
        <w:spacing w:after="80"/>
      </w:pPr>
      <w:r>
        <w:rPr>
          <w:rFonts w:ascii="Times New Roman" w:hAnsi="Times New Roman" w:cs="Times New Roman"/>
          <w:b/>
          <w:i w:val="0"/>
          <w:color w:val="FF0000"/>
          <w:sz w:val="21"/>
        </w:rPr>
        <w:t xml:space="preserve">Response 10: </w:t>
      </w:r>
    </w:p>
    <w:p w14:paraId="001000A0" w14:textId="001000A1">
      <w:pPr>
        <w:spacing w:before="0" w:after="120"/>
      </w:pPr>
      <w:r>
        <w:rPr>
          <w:rFonts w:ascii="Times New Roman" w:hAnsi="Times New Roman" w:cs="Times New Roman"/>
          <w:b w:val="0"/>
          <w:i w:val="0"/>
          <w:color w:val="FF0000"/>
          <w:sz w:val="21"/>
        </w:rPr>
        <w:t>We thank the reviewer. After the tables and figures were finalized, we carefully proofread the revised manuscript for terminology consistency, repeated wording, and overly long sentences while preserving all quantitative values.</w:t>
      </w:r>
    </w:p>
    <w:p w14:paraId="001000A2" w14:textId="001000A3">
      <w:pPr>
        <w:spacing w:after="80"/>
      </w:pPr>
      <w:r>
        <w:rPr>
          <w:rFonts w:ascii="Times New Roman" w:hAnsi="Times New Roman" w:cs="Times New Roman"/>
          <w:b/>
          <w:i/>
          <w:color w:val="FF0000"/>
          <w:sz w:val="21"/>
        </w:rPr>
        <w:t xml:space="preserve">Revision made: </w:t>
      </w:r>
    </w:p>
    <w:p w14:paraId="001000A4" w14:textId="001000A5">
      <w:pPr>
        <w:spacing w:before="0" w:after="120"/>
      </w:pPr>
      <w:r>
        <w:rPr>
          <w:rFonts w:ascii="Times New Roman" w:hAnsi="Times New Roman" w:cs="Times New Roman"/>
          <w:b w:val="0"/>
          <w:i w:val="0"/>
          <w:color w:val="FF0000"/>
          <w:sz w:val="21"/>
        </w:rPr>
        <w:t>Proofread the revised manuscript for terminology consistency, concision, and sentence length without changing quantitative values.</w:t>
      </w:r>
    </w:p>
    <w:p w14:paraId="001000A6" w14:textId="001000A7">
      <w:pPr>
        <w:spacing w:before="200" w:after="80"/>
      </w:pPr>
      <w:r>
        <w:rPr>
          <w:rFonts w:ascii="Times New Roman" w:hAnsi="Times New Roman" w:cs="Times New Roman"/>
          <w:b/>
          <w:i w:val="0"/>
          <w:color w:val="000000"/>
          <w:sz w:val="24"/>
        </w:rPr>
        <w:t>4. Response to Comments on the Quality of English Language</w:t>
      </w:r>
    </w:p>
    <w:p w14:paraId="001000A8" w14:textId="001000A9">
      <w:pPr>
        <w:spacing w:before="0" w:after="120"/>
      </w:pPr>
      <w:r>
        <w:rPr>
          <w:rFonts w:ascii="Times New Roman" w:hAnsi="Times New Roman" w:cs="Times New Roman"/>
          <w:b w:val="0"/>
          <w:i w:val="0"/>
          <w:color w:val="000000"/>
          <w:sz w:val="21"/>
        </w:rPr>
        <w:t>Point: The reviewer's assessment of the English language was: The English is fine and does not require any improvement.</w:t>
      </w:r>
    </w:p>
    <w:p w14:paraId="001000AA" w14:textId="001000AB">
      <w:pPr>
        <w:spacing w:before="0" w:after="120"/>
      </w:pPr>
      <w:r>
        <w:rPr>
          <w:rFonts w:ascii="Times New Roman" w:hAnsi="Times New Roman" w:cs="Times New Roman"/>
          <w:b w:val="0"/>
          <w:i w:val="0"/>
          <w:color w:val="FF0000"/>
          <w:sz w:val="21"/>
        </w:rPr>
        <w:t>We thank the reviewer for this positive assessment. The revised manuscript was nevertheless carefully proofread for terminology consistency, repetition, and sentence length.</w:t>
      </w:r>
    </w:p>
    <w:p w14:paraId="001000AC" w14:textId="001000AD">
      <w:pPr>
        <w:spacing w:before="200" w:after="80"/>
      </w:pPr>
      <w:r>
        <w:rPr>
          <w:rFonts w:ascii="Times New Roman" w:hAnsi="Times New Roman" w:cs="Times New Roman"/>
          <w:b/>
          <w:i w:val="0"/>
          <w:color w:val="000000"/>
          <w:sz w:val="24"/>
        </w:rPr>
        <w:t>5. Additional clarifications</w:t>
      </w:r>
    </w:p>
    <w:p w14:paraId="001000AE" w14:textId="001000AF">
      <w:pPr>
        <w:spacing w:before="0" w:after="120"/>
      </w:pPr>
      <w:r>
        <w:rPr>
          <w:rFonts w:ascii="Times New Roman" w:hAnsi="Times New Roman" w:cs="Times New Roman"/>
          <w:b w:val="0"/>
          <w:i w:val="0"/>
          <w:color w:val="FF0000"/>
          <w:sz w:val="21"/>
        </w:rPr>
        <w:t>We sincerely thank Reviewer 2 for the constructive and rigorous evaluation, which has substantially improved the manuscript. A marked-up version with all changes highlighted has been uploaded together with the revised manuscript.</w:t>
      </w:r>
    </w:p>
    <w:sectPr w:rsidRPr="0006063C" w:rsidR="00FC69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0</ap:Characters>
  <ap:Application>Microsoft Macintosh Word</ap:Application>
  <ap:DocSecurity>0</ap:DocSecurity>
  <ap:Lines>0</ap:Lines>
  <ap:Paragraphs>0</ap:Paragraphs>
  <ap:ScaleCrop>false</ap:ScaleCrop>
  <ap:HeadingPairs>
    <vt:vector baseType="variant" size="2">
      <vt:variant>
        <vt:lpstr>Title</vt:lpstr>
      </vt:variant>
      <vt:variant>
        <vt:i4>1</vt:i4>
      </vt:variant>
    </vt:vector>
  </ap:HeadingPairs>
  <ap:TitlesOfParts>
    <vt:vector baseType="lpstr" size="1">
      <vt:lpstr/>
    </vt:vector>
  </ap:TitlesOfParts>
  <ap:Manager/>
  <ap:Company/>
  <ap:LinksUpToDate>false</ap:LinksUpToDate>
  <ap:CharactersWithSpaces>0</ap:CharactersWithSpaces>
  <ap:SharedDoc>false</ap:SharedDoc>
  <ap:HyperlinkBase/>
  <ap:HyperlinksChanged>false</ap:HyperlinksChanged>
  <ap:AppVersion>14.0000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1.0.125</vt:lpwstr>
  </op:property>
  <op:property fmtid="{D5CDD505-2E9C-101B-9397-08002B2CF9AE}" pid="3" name="OfficeCLI.LastModified">
    <vt:lpwstr xmlns:vt="http://schemas.openxmlformats.org/officeDocument/2006/docPropsVTypes">2026-07-01T08:02:03Z</vt:lpwstr>
  </op:property>
</op:Properties>
</file>