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officeDocument/2006/relationships/extended-properties" Target="docProps/app.xml" Id="rId4" /><Relationship Type="http://schemas.openxmlformats.org/officeDocument/2006/relationships/officeDocument" Target="word/document.xml" Id="rId1" /><Relationship Type="http://schemas.openxmlformats.org/package/2006/relationships/metadata/thumbnail" Target="docProps/thumbnail.jpeg" Id="rId2" /><Relationship Type="http://schemas.openxmlformats.org/officeDocument/2006/relationships/custom-properties" Target="/docProps/custom.xml" Id="R60c9c59a82404dda" /></Relationships>
</file>

<file path=word/document.xml><?xml version="1.0" encoding="utf-8"?>
<w:document xmlns:mc="http://schemas.openxmlformats.org/markup-compatibility/2006" xmlns:w="http://schemas.openxmlformats.org/wordprocessingml/2006/main" xmlns:w14="http://schemas.microsoft.com/office/word/2010/wordml" xmlns:wp14="http://schemas.microsoft.com/office/word/2010/wordprocessingDrawing" mc:Ignorable="w14 wp14">
  <w:body xmlns:mc="http://schemas.openxmlformats.org/markup-compatibility/2006" xmlns:w="http://schemas.openxmlformats.org/wordprocessingml/2006/main" xmlns:w14="http://schemas.microsoft.com/office/word/2010/wordml" xmlns:wp14="http://schemas.microsoft.com/office/word/2010/wordprocessingDrawing">
    <w:p w14:paraId="00100000" w14:textId="00100001">
      <w:pPr>
        <w:jc w:val="center"/>
      </w:pPr>
      <w:r>
        <w:rPr>
          <w:rFonts w:ascii="Times New Roman" w:hAnsi="Times New Roman" w:cs="Times New Roman"/>
          <w:b/>
          <w:i w:val="0"/>
          <w:color w:val="000000"/>
          <w:sz w:val="28"/>
        </w:rPr>
        <w:t>Response to Reviewer 1 Comments</w:t>
      </w:r>
    </w:p>
    <w:p w14:paraId="00100002" w14:textId="00100003">
      <w:pPr>
        <w:jc w:val="center"/>
      </w:pPr>
      <w:r>
        <w:rPr>
          <w:rFonts w:ascii="Times New Roman" w:hAnsi="Times New Roman" w:cs="Times New Roman"/>
          <w:b w:val="0"/>
          <w:i/>
          <w:color w:val="000000"/>
          <w:sz w:val="18"/>
        </w:rPr>
        <w:t>Manuscript ID: symmetry-4339980 | Symmetry</w:t>
      </w:r>
    </w:p>
    <w:p w14:paraId="00100004" w14:textId="00100005">
      <w:pPr>
        <w:jc w:val="center"/>
      </w:pPr>
      <w:r>
        <w:rPr>
          <w:rFonts w:ascii="Times New Roman" w:hAnsi="Times New Roman" w:cs="Times New Roman"/>
          <w:b w:val="0"/>
          <w:i/>
          <w:color w:val="000000"/>
          <w:sz w:val="18"/>
        </w:rPr>
        <w:t>Multi-Granularity Feature Decomposition with Ranking-Aware Regularization for Old Film Restoration</w:t>
      </w:r>
    </w:p>
    <w:p w14:paraId="00100006" w14:textId="00100007">
      <w:pPr>
        <w:spacing w:before="200" w:after="80"/>
      </w:pPr>
      <w:r>
        <w:rPr>
          <w:rFonts w:ascii="Times New Roman" w:hAnsi="Times New Roman" w:cs="Times New Roman"/>
          <w:b/>
          <w:i w:val="0"/>
          <w:color w:val="000000"/>
          <w:sz w:val="24"/>
        </w:rPr>
        <w:t>1. Summary</w:t>
      </w:r>
    </w:p>
    <w:p w14:paraId="00100008" w14:textId="0010025E">
      <w:pPr>
        <w:spacing w:before="0" w:after="120"/>
      </w:pPr>
      <w:r>
        <w:rPr>
          <w:rFonts w:ascii="Times New Roman" w:hAnsi="Times New Roman" w:cs="Times New Roman"/>
          <w:b w:val="0"/>
          <w:i w:val="0"/>
          <w:color w:val="FF0000"/>
          <w:sz w:val="21"/>
        </w:rPr>
        <w:t xml:space="preserve">We thank Reviewer 1 for the careful and rigorous review. In this revision we have strengthened the manuscript to address the six main concerns: (1) clarified the novelty of MGFE/RATR relative to the MambaOFR backbone and existing multi-scale, token-based, and Mamba-based restoration methods; (2) locked the main comparison to the frozen average-fusion MgfrOFR evaluation record under the same protocol; (3) expanded the measured ablation and sensitivity analysis for MGFE, RATR, average versus max fusion, ranking temperature, token insertion, branch aggregation, and granularity, with average-fusion MgfrOFR as the submitted model and max fusion only as an ablation control; (4) restored Figures 4 and 5 to full-method qualitative comparisons with page-width rendering and clearer captions; (5) added the efficiency analysis with parameters, FLOPs, latency, FPS, and peak memory; and (6) expanded branch-balance, failure, and limitations discussion without relying on unsupported extra panels.</w:t>
      </w:r>
    </w:p>
    <w:p w14:paraId="0010000A" w14:textId="0010026F">
      <w:pPr>
        <w:spacing w:before="200" w:after="80"/>
      </w:pPr>
      <w:r>
        <w:rPr>
          <w:rFonts w:ascii="Times New Roman" w:hAnsi="Times New Roman" w:cs="Times New Roman"/>
          <w:b/>
          <w:color w:val="000000"/>
          <w:sz w:val="24"/>
        </w:rPr>
        <w:t xml:space="preserve">2. Questions for General Evaluation</w:t>
      </w:r>
    </w:p>
    <w:tbl>
      <w:tblPr>
        <w:tblStyle w:val="TableGrid"/>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tblPr>
      <w:tblGrid>
        <w:gridCol w:w="4320"/>
        <w:gridCol w:w="4320"/>
      </w:tblGrid>
      <w:tr>
        <w:tc>
          <w:tcPr>
            <w:tcW w:w="4320" w:type="dxa"/>
            <w:shd w:val="clear" w:fill="D9D9D9"/>
          </w:tcPr>
          <w:p>
            <w:r>
              <w:rPr>
                <w:rFonts w:ascii="Times New Roman" w:hAnsi="Times New Roman" w:cs="Times New Roman"/>
                <w:b/>
                <w:color w:val="000000"/>
                <w:sz w:val="21"/>
              </w:rPr>
              <w:t xml:space="preserve">Reviewer's Evaluation</w:t>
            </w:r>
          </w:p>
        </w:tc>
        <w:tc>
          <w:tcPr>
            <w:tcW w:w="4320" w:type="dxa"/>
            <w:shd w:val="clear" w:fill="D9D9D9"/>
          </w:tcPr>
          <w:p>
            <w:r>
              <w:rPr>
                <w:rFonts w:ascii="Times New Roman" w:hAnsi="Times New Roman" w:cs="Times New Roman"/>
                <w:b/>
                <w:color w:val="000000"/>
                <w:sz w:val="21"/>
              </w:rPr>
              <w:t xml:space="preserve">Response and Revisions</w:t>
            </w:r>
          </w:p>
        </w:tc>
      </w:tr>
      <w:tr>
        <w:tc>
          <w:tcPr>
            <w:tcW w:w="4320" w:type="dxa"/>
          </w:tcPr>
          <w:p>
            <w:pPr>
              <w:spacing w:after="80"/>
            </w:pPr>
            <w:r>
              <w:rPr>
                <w:rFonts w:ascii="Times New Roman" w:hAnsi="Times New Roman" w:cs="Times New Roman"/>
                <w:color w:val="000000"/>
                <w:sz w:val="21"/>
              </w:rPr>
              <w:t xml:space="preserve">Does the introduction provide sufficient background and include all relevant references?</w:t>
            </w:r>
          </w:p>
          <w:p>
            <w:pPr>
              <w:spacing w:after="80"/>
            </w:pPr>
            <w:r>
              <w:rPr>
                <w:rFonts w:ascii="Times New Roman" w:hAnsi="Times New Roman" w:cs="Times New Roman"/>
                <w:color w:val="000000"/>
                <w:sz w:val="16"/>
              </w:rPr>
              <w:t xml:space="preserve">( ) Yes  ( ) Can be improved  ( ) Must be improved  ( ) Not applicable</w:t>
            </w:r>
          </w:p>
          <w:p>
            <w:pPr>
              <w:spacing w:after="80"/>
            </w:pPr>
            <w:r>
              <w:rPr>
                <w:rFonts w:ascii="Times New Roman" w:hAnsi="Times New Roman" w:cs="Times New Roman"/>
                <w:color w:val="000000"/>
                <w:sz w:val="18"/>
              </w:rPr>
              <w:t xml:space="preserve">Reviewer's rating: </w:t>
            </w:r>
            <w:r>
              <w:rPr>
                <w:rFonts w:ascii="Times New Roman" w:hAnsi="Times New Roman" w:cs="Times New Roman"/>
                <w:b/>
                <w:color w:val="000000"/>
                <w:sz w:val="18"/>
              </w:rPr>
              <w:t xml:space="preserve">Can be improved</w:t>
            </w:r>
          </w:p>
        </w:tc>
        <w:tc>
          <w:tcPr>
            <w:tcW w:w="4320" w:type="dxa"/>
          </w:tcPr>
          <w:p>
            <w:pPr>
              <w:spacing w:after="80"/>
            </w:pPr>
            <w:r>
              <w:rPr>
                <w:rFonts w:ascii="Times New Roman" w:hAnsi="Times New Roman" w:cs="Times New Roman"/>
                <w:color w:val="FF0000"/>
                <w:sz w:val="21"/>
              </w:rPr>
              <w:t xml:space="preserve">We thank the reviewer. We revised the Introduction and Related Work to clarify the MGFE/RATR novelty boundary relative to MambaOFR and related restoration families; please see Responses 1 and 2.</w:t>
            </w:r>
          </w:p>
        </w:tc>
      </w:tr>
      <w:tr>
        <w:tc>
          <w:tcPr>
            <w:tcW w:w="4320" w:type="dxa"/>
          </w:tcPr>
          <w:p>
            <w:pPr>
              <w:spacing w:after="80"/>
            </w:pPr>
            <w:r>
              <w:rPr>
                <w:rFonts w:ascii="Times New Roman" w:hAnsi="Times New Roman" w:cs="Times New Roman"/>
                <w:color w:val="000000"/>
                <w:sz w:val="21"/>
              </w:rPr>
              <w:t xml:space="preserve">Is the research design appropriate?</w:t>
            </w:r>
          </w:p>
          <w:p>
            <w:pPr>
              <w:spacing w:after="80"/>
            </w:pPr>
            <w:r>
              <w:rPr>
                <w:rFonts w:ascii="Times New Roman" w:hAnsi="Times New Roman" w:cs="Times New Roman"/>
                <w:color w:val="000000"/>
                <w:sz w:val="16"/>
              </w:rPr>
              <w:t xml:space="preserve">( ) Yes  ( ) Can be improved  ( ) Must be improved  ( ) Not applicable</w:t>
            </w:r>
          </w:p>
          <w:p>
            <w:pPr>
              <w:spacing w:after="80"/>
            </w:pPr>
            <w:r>
              <w:rPr>
                <w:rFonts w:ascii="Times New Roman" w:hAnsi="Times New Roman" w:cs="Times New Roman"/>
                <w:color w:val="000000"/>
                <w:sz w:val="18"/>
              </w:rPr>
              <w:t xml:space="preserve">Reviewer's rating: </w:t>
            </w:r>
            <w:r>
              <w:rPr>
                <w:rFonts w:ascii="Times New Roman" w:hAnsi="Times New Roman" w:cs="Times New Roman"/>
                <w:b/>
                <w:color w:val="000000"/>
                <w:sz w:val="18"/>
              </w:rPr>
              <w:t xml:space="preserve">Can be improved</w:t>
            </w:r>
          </w:p>
        </w:tc>
        <w:tc>
          <w:tcPr>
            <w:tcW w:w="4320" w:type="dxa"/>
          </w:tcPr>
          <w:p>
            <w:pPr>
              <w:spacing w:after="80"/>
            </w:pPr>
            <w:r>
              <w:rPr>
                <w:rFonts w:ascii="Times New Roman" w:hAnsi="Times New Roman" w:cs="Times New Roman"/>
                <w:color w:val="FF0000"/>
                <w:sz w:val="21"/>
              </w:rPr>
              <w:t xml:space="preserve">We thank the reviewer. We clarified the evaluation protocol, baseline adaptation, and same-protocol main comparison while keeping enhancement-oriented methods as reference systems; please see Response 2.</w:t>
            </w:r>
          </w:p>
        </w:tc>
      </w:tr>
      <w:tr>
        <w:tc>
          <w:tcPr>
            <w:tcW w:w="4320" w:type="dxa"/>
          </w:tcPr>
          <w:p>
            <w:pPr>
              <w:spacing w:after="80"/>
            </w:pPr>
            <w:r>
              <w:rPr>
                <w:rFonts w:ascii="Times New Roman" w:hAnsi="Times New Roman" w:cs="Times New Roman"/>
                <w:color w:val="000000"/>
                <w:sz w:val="21"/>
              </w:rPr>
              <w:t xml:space="preserve">Are the methods adequately described?</w:t>
            </w:r>
          </w:p>
          <w:p>
            <w:pPr>
              <w:spacing w:after="80"/>
            </w:pPr>
            <w:r>
              <w:rPr>
                <w:rFonts w:ascii="Times New Roman" w:hAnsi="Times New Roman" w:cs="Times New Roman"/>
                <w:color w:val="000000"/>
                <w:sz w:val="16"/>
              </w:rPr>
              <w:t xml:space="preserve">( ) Yes  ( ) Can be improved  ( ) Must be improved  ( ) Not applicable</w:t>
            </w:r>
          </w:p>
          <w:p>
            <w:pPr>
              <w:spacing w:after="80"/>
            </w:pPr>
            <w:r>
              <w:rPr>
                <w:rFonts w:ascii="Times New Roman" w:hAnsi="Times New Roman" w:cs="Times New Roman"/>
                <w:color w:val="000000"/>
                <w:sz w:val="18"/>
              </w:rPr>
              <w:t xml:space="preserve">Reviewer's rating: </w:t>
            </w:r>
            <w:r>
              <w:rPr>
                <w:rFonts w:ascii="Times New Roman" w:hAnsi="Times New Roman" w:cs="Times New Roman"/>
                <w:b/>
                <w:color w:val="000000"/>
                <w:sz w:val="18"/>
              </w:rPr>
              <w:t xml:space="preserve">Can be improved</w:t>
            </w:r>
          </w:p>
        </w:tc>
        <w:tc>
          <w:tcPr>
            <w:tcW w:w="4320" w:type="dxa"/>
          </w:tcPr>
          <w:p>
            <w:pPr>
              <w:spacing w:after="80"/>
            </w:pPr>
            <w:r>
              <w:rPr>
                <w:rFonts w:ascii="Times New Roman" w:hAnsi="Times New Roman" w:cs="Times New Roman"/>
                <w:color w:val="FF0000"/>
                <w:sz w:val="21"/>
              </w:rPr>
              <w:t xml:space="preserve">We thank the reviewer. We clarified the submitted average-fusion MgfrOFR configuration, MGFE/RATR design choices, token insertion, branch aggregation, and ranking-aware regularization; please see Responses 1 and 3.</w:t>
            </w:r>
          </w:p>
        </w:tc>
      </w:tr>
      <w:tr>
        <w:tc>
          <w:tcPr>
            <w:tcW w:w="4320" w:type="dxa"/>
          </w:tcPr>
          <w:p>
            <w:pPr>
              <w:spacing w:after="80"/>
            </w:pPr>
            <w:r>
              <w:rPr>
                <w:rFonts w:ascii="Times New Roman" w:hAnsi="Times New Roman" w:cs="Times New Roman"/>
                <w:color w:val="000000"/>
                <w:sz w:val="21"/>
              </w:rPr>
              <w:t xml:space="preserve">Are the results clearly presented?</w:t>
            </w:r>
          </w:p>
          <w:p>
            <w:pPr>
              <w:spacing w:after="80"/>
            </w:pPr>
            <w:r>
              <w:rPr>
                <w:rFonts w:ascii="Times New Roman" w:hAnsi="Times New Roman" w:cs="Times New Roman"/>
                <w:color w:val="000000"/>
                <w:sz w:val="16"/>
              </w:rPr>
              <w:t xml:space="preserve">( ) Yes  ( ) Can be improved  ( ) Must be improved  ( ) Not applicable</w:t>
            </w:r>
          </w:p>
          <w:p>
            <w:pPr>
              <w:spacing w:after="80"/>
            </w:pPr>
            <w:r>
              <w:rPr>
                <w:rFonts w:ascii="Times New Roman" w:hAnsi="Times New Roman" w:cs="Times New Roman"/>
                <w:color w:val="000000"/>
                <w:sz w:val="18"/>
              </w:rPr>
              <w:t xml:space="preserve">Reviewer's rating: </w:t>
            </w:r>
            <w:r>
              <w:rPr>
                <w:rFonts w:ascii="Times New Roman" w:hAnsi="Times New Roman" w:cs="Times New Roman"/>
                <w:b/>
                <w:color w:val="000000"/>
                <w:sz w:val="18"/>
              </w:rPr>
              <w:t xml:space="preserve">Can be improved</w:t>
            </w:r>
          </w:p>
        </w:tc>
        <w:tc>
          <w:tcPr>
            <w:tcW w:w="4320" w:type="dxa"/>
          </w:tcPr>
          <w:p>
            <w:pPr>
              <w:spacing w:after="80"/>
            </w:pPr>
            <w:r>
              <w:rPr>
                <w:rFonts w:ascii="Times New Roman" w:hAnsi="Times New Roman" w:cs="Times New Roman"/>
                <w:color w:val="FF0000"/>
                <w:sz w:val="21"/>
              </w:rPr>
              <w:t xml:space="preserve">We thank the reviewer. We expanded quantitative, qualitative, ablation, sensitivity, and complexity evidence, including full-method Figures 4 and 5 and Supplementary Video S1; please see Responses 3-5.</w:t>
            </w:r>
          </w:p>
        </w:tc>
      </w:tr>
      <w:tr>
        <w:tc>
          <w:tcPr>
            <w:tcW w:w="4320" w:type="dxa"/>
          </w:tcPr>
          <w:p>
            <w:pPr>
              <w:spacing w:after="80"/>
            </w:pPr>
            <w:r>
              <w:rPr>
                <w:rFonts w:ascii="Times New Roman" w:hAnsi="Times New Roman" w:cs="Times New Roman"/>
                <w:color w:val="000000"/>
                <w:sz w:val="21"/>
              </w:rPr>
              <w:t xml:space="preserve">Are the conclusions supported by the results?</w:t>
            </w:r>
          </w:p>
          <w:p>
            <w:pPr>
              <w:spacing w:after="80"/>
            </w:pPr>
            <w:r>
              <w:rPr>
                <w:rFonts w:ascii="Times New Roman" w:hAnsi="Times New Roman" w:cs="Times New Roman"/>
                <w:color w:val="000000"/>
                <w:sz w:val="16"/>
              </w:rPr>
              <w:t xml:space="preserve">( ) Yes  ( ) Can be improved  ( ) Must be improved  ( ) Not applicable</w:t>
            </w:r>
          </w:p>
          <w:p>
            <w:pPr>
              <w:spacing w:after="80"/>
            </w:pPr>
            <w:r>
              <w:rPr>
                <w:rFonts w:ascii="Times New Roman" w:hAnsi="Times New Roman" w:cs="Times New Roman"/>
                <w:color w:val="000000"/>
                <w:sz w:val="18"/>
              </w:rPr>
              <w:t xml:space="preserve">Reviewer's rating: </w:t>
            </w:r>
            <w:r>
              <w:rPr>
                <w:rFonts w:ascii="Times New Roman" w:hAnsi="Times New Roman" w:cs="Times New Roman"/>
                <w:b/>
                <w:color w:val="000000"/>
                <w:sz w:val="18"/>
              </w:rPr>
              <w:t xml:space="preserve">Can be improved</w:t>
            </w:r>
          </w:p>
        </w:tc>
        <w:tc>
          <w:tcPr>
            <w:tcW w:w="4320" w:type="dxa"/>
          </w:tcPr>
          <w:p>
            <w:pPr>
              <w:spacing w:after="80"/>
            </w:pPr>
            <w:r>
              <w:rPr>
                <w:rFonts w:ascii="Times New Roman" w:hAnsi="Times New Roman" w:cs="Times New Roman"/>
                <w:color w:val="FF0000"/>
                <w:sz w:val="21"/>
              </w:rPr>
              <w:t xml:space="preserve">We thank the reviewer. We narrowed the claims to the validated average-fusion MgfrOFR protocol and separated no-reference naturalness evidence from content-fidelity claims; please see Responses 1 and 6.</w:t>
            </w:r>
          </w:p>
        </w:tc>
      </w:tr>
      <w:tr>
        <w:tc>
          <w:tcPr>
            <w:tcW w:w="4320" w:type="dxa"/>
          </w:tcPr>
          <w:p>
            <w:pPr>
              <w:spacing w:after="80"/>
            </w:pPr>
            <w:r>
              <w:rPr>
                <w:rFonts w:ascii="Times New Roman" w:hAnsi="Times New Roman" w:cs="Times New Roman"/>
                <w:color w:val="000000"/>
                <w:sz w:val="21"/>
              </w:rPr>
              <w:t xml:space="preserve">Are all figures and tables clear and well-presented?</w:t>
            </w:r>
          </w:p>
          <w:p>
            <w:pPr>
              <w:spacing w:after="80"/>
            </w:pPr>
            <w:r>
              <w:rPr>
                <w:rFonts w:ascii="Times New Roman" w:hAnsi="Times New Roman" w:cs="Times New Roman"/>
                <w:color w:val="000000"/>
                <w:sz w:val="16"/>
              </w:rPr>
              <w:t xml:space="preserve">( ) Yes  ( ) Can be improved  ( ) Must be improved  ( ) Not applicable</w:t>
            </w:r>
          </w:p>
          <w:p>
            <w:pPr>
              <w:spacing w:after="80"/>
            </w:pPr>
            <w:r>
              <w:rPr>
                <w:rFonts w:ascii="Times New Roman" w:hAnsi="Times New Roman" w:cs="Times New Roman"/>
                <w:color w:val="000000"/>
                <w:sz w:val="18"/>
              </w:rPr>
              <w:t xml:space="preserve">Reviewer's rating: </w:t>
            </w:r>
            <w:r>
              <w:rPr>
                <w:rFonts w:ascii="Times New Roman" w:hAnsi="Times New Roman" w:cs="Times New Roman"/>
                <w:b/>
                <w:color w:val="000000"/>
                <w:sz w:val="18"/>
              </w:rPr>
              <w:t xml:space="preserve">Can be improved</w:t>
            </w:r>
          </w:p>
        </w:tc>
        <w:tc>
          <w:tcPr>
            <w:tcW w:w="4320" w:type="dxa"/>
          </w:tcPr>
          <w:p>
            <w:pPr>
              <w:spacing w:after="80"/>
            </w:pPr>
            <w:r>
              <w:rPr>
                <w:rFonts w:ascii="Times New Roman" w:hAnsi="Times New Roman" w:cs="Times New Roman"/>
                <w:color w:val="FF0000"/>
                <w:sz w:val="21"/>
              </w:rPr>
              <w:t xml:space="preserve">We thank the reviewer. We restored Figures 4 and 5 as page-width full-method qualitative panels and rebuilt the final figure/video package; please see Response 4.</w:t>
            </w:r>
          </w:p>
        </w:tc>
      </w:tr>
    </w:tbl>
    <w:p w14:paraId="00100040" w14:textId="00100041">
      <w:pPr>
        <w:spacing w:before="200" w:after="80"/>
      </w:pPr>
      <w:r>
        <w:rPr>
          <w:rFonts w:ascii="Times New Roman" w:hAnsi="Times New Roman" w:cs="Times New Roman"/>
          <w:b/>
          <w:i w:val="0"/>
          <w:color w:val="000000"/>
          <w:sz w:val="24"/>
        </w:rPr>
        <w:t>3. Point-by-point response to Comments and Suggestions for Authors</w:t>
      </w:r>
    </w:p>
    <w:p w14:paraId="00100042" w14:textId="00100043">
      <w:pPr>
        <w:spacing w:before="160" w:after="80"/>
      </w:pPr>
      <w:r>
        <w:rPr>
          <w:rFonts w:ascii="Times New Roman" w:hAnsi="Times New Roman" w:cs="Times New Roman"/>
          <w:b/>
          <w:i w:val="0"/>
          <w:color w:val="000000"/>
          <w:sz w:val="21"/>
        </w:rPr>
        <w:t xml:space="preserve">Comments 1: </w:t>
      </w:r>
      <w:r>
        <w:rPr>
          <w:rFonts w:ascii="Times New Roman" w:hAnsi="Times New Roman" w:cs="Times New Roman"/>
          <w:b w:val="0"/>
          <w:i w:val="0"/>
          <w:color w:val="000000"/>
          <w:sz w:val="21"/>
        </w:rPr>
        <w:t>The novelty over the existing MambaOFR backbone is not sufficiently justified. The manuscript should more clearly explain the theoretical and architectural distinction between the proposed MGFE/RATR modules and existing multi-scale or token-based restoration frameworks, and provide a stronger comparison against recent Mamba-based restoration methods.</w:t>
      </w:r>
    </w:p>
    <w:p w14:paraId="00100044" w14:textId="00100045">
      <w:pPr>
        <w:spacing w:after="80"/>
      </w:pPr>
      <w:r>
        <w:rPr>
          <w:rFonts w:ascii="Times New Roman" w:hAnsi="Times New Roman" w:cs="Times New Roman"/>
          <w:b/>
          <w:i w:val="0"/>
          <w:color w:val="FF0000"/>
          <w:sz w:val="21"/>
        </w:rPr>
        <w:t xml:space="preserve">Response 1: </w:t>
      </w:r>
    </w:p>
    <w:p w14:paraId="00100046" w14:textId="00100093">
      <w:pPr>
        <w:spacing w:before="0" w:after="120"/>
      </w:pPr>
      <w:r>
        <w:rPr>
          <w:rFonts w:ascii="Times New Roman" w:hAnsi="Times New Roman" w:cs="Times New Roman"/>
          <w:b w:val="0"/>
          <w:i w:val="0"/>
          <w:color w:val="FF0000"/>
          <w:sz w:val="21"/>
        </w:rPr>
        <w:t xml:space="preserve">We thank the reviewer for this central concern and agree that a clearer positioning was needed. We strengthened the positioning prose in Related Work and Discussion rather than adding an unsupported comparison table. The revised text separates MgfrOFR from multi-scale pyramids, token-stripe recognition models, Mamba-based restoration backbones, and diversity-regularization methods. Relative to MambaOFR, the increment is granularity decomposition plus ranking-aware diversity regularization rather than a redesign of the scan mechanism. With average-fusion MgfrOFR as the submitted model, the performance claim is anchored to same-protocol SRWOV synthetic and real-world evaluations. It improves over MambaOFR on the full-reference synthetic metrics, while the real-world no-reference results are framed as statistical-naturalness evidence rather than definitive perceptual superiority. The complexity table reports parameters, FLOPs, latency, FPS, and peak memory for the evaluated methods.</w:t>
      </w:r>
    </w:p>
    <w:p w14:paraId="00100048" w14:textId="00100049">
      <w:pPr>
        <w:spacing w:after="80"/>
      </w:pPr>
      <w:r>
        <w:rPr>
          <w:rFonts w:ascii="Times New Roman" w:hAnsi="Times New Roman" w:cs="Times New Roman"/>
          <w:b/>
          <w:i/>
          <w:color w:val="FF0000"/>
          <w:sz w:val="21"/>
        </w:rPr>
        <w:t xml:space="preserve">Revision made: </w:t>
      </w:r>
    </w:p>
    <w:p w14:paraId="0010004A" w14:textId="0010004B">
      <w:pPr>
        <w:spacing w:before="0" w:after="120"/>
      </w:pPr>
      <w:r>
        <w:rPr>
          <w:rFonts w:ascii="Times New Roman" w:hAnsi="Times New Roman" w:cs="Times New Roman"/>
          <w:b w:val="0"/>
          <w:i w:val="0"/>
          <w:color w:val="FF0000"/>
          <w:sz w:val="21"/>
        </w:rPr>
        <w:t xml:space="preserve">Revised Related Work Section 2.3, the Introduction, and the Discussion to clarify the contribution boundary relative to MambaOFR and other restoration families. Added focused positioning prose and updated the complexity and ablation discussion without introducing unsupported tabular claims.</w:t>
      </w:r>
    </w:p>
    <w:p w14:paraId="00100261" w14:textId="00100262">
      <w:r>
        <w:rPr>
          <w:b/>
        </w:rPr>
        <w:t>Evidence location: </w:t>
      </w:r>
      <w:r>
        <w:t xml:space="preserve">For ease of review, the corresponding quantitative evidence is now placed in the manuscript rather than repeated as a separate table in this letter. The same-protocol SRWOV synthetic comparison is reported in Section 4.3.1 and Table 1, and the paired Wilcoxon statistics are stated immediately after Table 1. The distinction from MambaOFR and other restoration families is clarified in Related Work Section 2.3 and in the Discussion under “Comparison with the Closest Prior Work.”</w:t>
      </w:r>
    </w:p>
    <w:p w14:paraId="0010004C" w14:textId="0010004D">
      <w:pPr>
        <w:spacing w:before="160" w:after="80"/>
      </w:pPr>
      <w:r>
        <w:rPr>
          <w:rFonts w:ascii="Times New Roman" w:hAnsi="Times New Roman" w:cs="Times New Roman"/>
          <w:b/>
          <w:i w:val="0"/>
          <w:color w:val="000000"/>
          <w:sz w:val="21"/>
        </w:rPr>
        <w:t xml:space="preserve">Comments 2: </w:t>
      </w:r>
      <w:r>
        <w:rPr>
          <w:rFonts w:ascii="Times New Roman" w:hAnsi="Times New Roman" w:cs="Times New Roman"/>
          <w:b w:val="0"/>
          <w:i w:val="0"/>
          <w:color w:val="000000"/>
          <w:sz w:val="21"/>
        </w:rPr>
        <w:t>The experimental validation lacks sufficient fairness and reproducibility details. Several compared methods (DeOldify, OldPhoto, DeepRemaster) are not originally designed for old film restoration, which may bias the comparison. The manuscript should provide clearer information regarding retraining procedures, hyperparameter tuning, degradation adaptation, and whether all baselines were optimized equally under the same computational budget.</w:t>
      </w:r>
    </w:p>
    <w:p w14:paraId="0010004E" w14:textId="0010004F">
      <w:pPr>
        <w:spacing w:after="80"/>
      </w:pPr>
      <w:r>
        <w:rPr>
          <w:rFonts w:ascii="Times New Roman" w:hAnsi="Times New Roman" w:cs="Times New Roman"/>
          <w:b/>
          <w:i w:val="0"/>
          <w:color w:val="FF0000"/>
          <w:sz w:val="21"/>
        </w:rPr>
        <w:t xml:space="preserve">Response 2: </w:t>
      </w:r>
    </w:p>
    <w:p w14:paraId="00100050" w14:textId="0010009F">
      <w:pPr>
        <w:spacing w:before="0" w:after="120"/>
      </w:pPr>
      <w:r>
        <w:rPr>
          <w:rFonts w:ascii="Times New Roman" w:hAnsi="Times New Roman" w:cs="Times New Roman"/>
          <w:b w:val="0"/>
          <w:i w:val="0"/>
          <w:color w:val="FF0000"/>
          <w:sz w:val="21"/>
        </w:rPr>
        <w:t xml:space="preserve">We thank the reviewer for raising fairness and reproducibility. The revised manuscript separates the evidence layers explicitly: dedicated old film restoration methods are retrained or reproduced under the REDS-based synthetic degradation pipeline; enhancement-oriented methods (DeOldify/OldPhoto/DeepRemaster) are explicitly labeled as reference methods rather than task-matched baselines; and the main comparison reports the average-fusion MgfrOFR model under the stated protocol. Ablation and sensitivity controls are reported only within their measured scope and do not replace the submitted model.</w:t>
      </w:r>
    </w:p>
    <w:p w14:paraId="00100052" w14:textId="00100053">
      <w:pPr>
        <w:spacing w:after="80"/>
      </w:pPr>
      <w:r>
        <w:rPr>
          <w:rFonts w:ascii="Times New Roman" w:hAnsi="Times New Roman" w:cs="Times New Roman"/>
          <w:b/>
          <w:i/>
          <w:color w:val="FF0000"/>
          <w:sz w:val="21"/>
        </w:rPr>
        <w:t xml:space="preserve">Revision made: </w:t>
      </w:r>
    </w:p>
    <w:p w14:paraId="00100054" w14:textId="001000A0">
      <w:pPr>
        <w:spacing w:before="0" w:after="120"/>
      </w:pPr>
      <w:r>
        <w:rPr>
          <w:rFonts w:ascii="Times New Roman" w:hAnsi="Times New Roman" w:cs="Times New Roman"/>
          <w:b w:val="0"/>
          <w:i w:val="0"/>
          <w:color w:val="FF0000"/>
          <w:sz w:val="21"/>
        </w:rPr>
        <w:t xml:space="preserve">Added a Baseline Adaptation Protocol paragraph and footnotes in the Results section; updated Tables 1 and 2 with validated reported values. The manuscript now states the training and evaluation settings, baseline adaptation boundary, and checkpoint-selection policy for the submitted average-fusion MgfrOFR model.</w:t>
      </w:r>
    </w:p>
    <w:p w14:paraId="00100263" w14:textId="00100264">
      <w:r>
        <w:rPr>
          <w:b/>
        </w:rPr>
        <w:t>Evidence location: </w:t>
      </w:r>
      <w:r>
        <w:t xml:space="preserve">The fairness and reproducibility details are now consolidated in Section 4.2, especially the Baseline Adaptation Protocol. The main synthetic and real-world values are reported in Section 4.3, Table 1, and Table 2; the manuscript also states that DeOldify, OldPhoto, and DeepRemaster are included as reference systems rather than task-matched old film restoration baselines. We have kept this boundary explicit because the reviewer is right that these methods should not be presented as equally adapted old film restoration baselines.</w:t>
      </w:r>
    </w:p>
    <w:p w14:paraId="00100056" w14:textId="00100057">
      <w:pPr>
        <w:spacing w:before="160" w:after="80"/>
      </w:pPr>
      <w:r>
        <w:rPr>
          <w:rFonts w:ascii="Times New Roman" w:hAnsi="Times New Roman" w:cs="Times New Roman"/>
          <w:b/>
          <w:i w:val="0"/>
          <w:color w:val="000000"/>
          <w:sz w:val="21"/>
        </w:rPr>
        <w:t xml:space="preserve">Comments 3: </w:t>
      </w:r>
      <w:r>
        <w:rPr>
          <w:rFonts w:ascii="Times New Roman" w:hAnsi="Times New Roman" w:cs="Times New Roman"/>
          <w:b w:val="0"/>
          <w:i w:val="0"/>
          <w:color w:val="000000"/>
          <w:sz w:val="21"/>
        </w:rPr>
        <w:t>The ablation study is incomplete and does not fully validate the contribution of each proposed component. The effect of the token insertion strategy, the choice of max fusion over average fusion, the influence of different ranking metrics, and alternative branch aggregation strategies and diversity regularization losses are not analyzed.</w:t>
      </w:r>
    </w:p>
    <w:p w14:paraId="00100058" w14:textId="00100059">
      <w:pPr>
        <w:spacing w:after="80"/>
      </w:pPr>
      <w:r>
        <w:rPr>
          <w:rFonts w:ascii="Times New Roman" w:hAnsi="Times New Roman" w:cs="Times New Roman"/>
          <w:b/>
          <w:i w:val="0"/>
          <w:color w:val="FF0000"/>
          <w:sz w:val="21"/>
        </w:rPr>
        <w:t xml:space="preserve">Response 3: </w:t>
      </w:r>
    </w:p>
    <w:p w14:paraId="0010005A" w14:textId="00100096">
      <w:pPr>
        <w:spacing w:before="0" w:after="120"/>
      </w:pPr>
      <w:r>
        <w:rPr>
          <w:rFonts w:ascii="Times New Roman" w:hAnsi="Times New Roman" w:cs="Times New Roman"/>
          <w:b w:val="0"/>
          <w:i w:val="0"/>
          <w:color w:val="FF0000"/>
          <w:sz w:val="21"/>
        </w:rPr>
        <w:t xml:space="preserve">We thank the reviewer for requesting a more complete ablation. We now provide measured single-variable ablations for MGFE, RATR, fusion strategy (average-fusion MgfrOFR versus max-fusion control), ranking-temperature sensitivity, token insertion, branch aggregation, and branch/token granularity. The max-fusion control shows weaker full-reference scores than the average-fusion main model, so the revision presents average fusion as the submitted default and max fusion only as a control. The token-insertion and branch-aggregation rows answer the requested design-choice checks within their measured scope and do not replace the submitted MgfrOFR model.</w:t>
      </w:r>
    </w:p>
    <w:p w14:paraId="0010005C" w14:textId="0010005D">
      <w:pPr>
        <w:spacing w:after="80"/>
      </w:pPr>
      <w:r>
        <w:rPr>
          <w:rFonts w:ascii="Times New Roman" w:hAnsi="Times New Roman" w:cs="Times New Roman"/>
          <w:b/>
          <w:i/>
          <w:color w:val="FF0000"/>
          <w:sz w:val="21"/>
        </w:rPr>
        <w:t xml:space="preserve">Revision made: </w:t>
      </w:r>
    </w:p>
    <w:p w14:paraId="0010005E" w14:textId="00100097">
      <w:pPr>
        <w:spacing w:before="0" w:after="120"/>
      </w:pPr>
      <w:r>
        <w:rPr>
          <w:rFonts w:ascii="Times New Roman" w:hAnsi="Times New Roman" w:cs="Times New Roman"/>
          <w:b w:val="0"/>
          <w:i w:val="0"/>
          <w:color w:val="FF0000"/>
          <w:sz w:val="21"/>
        </w:rPr>
        <w:t xml:space="preserve">Added expanded ablation and sensitivity tables in the Results section and updated the Discussion to explain why MGFE recalibration alone is weaker than the full model and how RATR with average fusion gives the strongest fidelity-perception balance. The ablation rows now use descriptive public labels rather than shorthand experiment IDs.</w:t>
      </w:r>
    </w:p>
    <w:p w14:paraId="00100265" w14:textId="00100266">
      <w:r>
        <w:rPr>
          <w:b/>
        </w:rPr>
        <w:t>Evidence location: </w:t>
      </w:r>
      <w:r>
        <w:t xml:space="preserve">The module evidence for MGFE and RATR is now reported in Section 4.4 (Ablation Study), with the visual ablation shown in Figure 6. The text explains that MGFE-only and RATR-only each improve the MambaOFR baseline, while the full average-fusion MgfrOFR model gives the strongest combined fidelity and perceptual result.</w:t>
      </w:r>
    </w:p>
    <w:p w14:paraId="00100267" w14:textId="00100268">
      <w:r>
        <w:rPr>
          <w:b/>
        </w:rPr>
        <w:t>Evidence location: </w:t>
      </w:r>
      <w:r>
        <w:t xml:space="preserve">The requested design-choice checks are now described in Section 4.5 (Hyperparameter Sensitivity). That section covers branch/token granularity, the lower ranking-temperature control, token insertion, branch aggregation, and the max-fusion control. We now present average fusion as the submitted model and retain max fusion only as an ablation control.</w:t>
      </w:r>
    </w:p>
    <w:p w14:paraId="00100269" w14:textId="0010026A">
      <w:r>
        <w:rPr>
          <w:b/>
        </w:rPr>
        <w:t>Evidence location: </w:t>
      </w:r>
      <w:r>
        <w:t xml:space="preserve">The branch-balance evidence is discussed in Section 4.7 under “Branch Balance Analysis.” The revised manuscript uses the branch-similarity and pixel-domain error-map analysis to explain why RATR is not merely a decorrelation label but the mechanism that keeps granularity branches functionally distinct.</w:t>
      </w:r>
    </w:p>
    <w:p w14:paraId="00100060" w14:textId="00100061">
      <w:pPr>
        <w:spacing w:before="160" w:after="80"/>
      </w:pPr>
      <w:r>
        <w:rPr>
          <w:rFonts w:ascii="Times New Roman" w:hAnsi="Times New Roman" w:cs="Times New Roman"/>
          <w:b/>
          <w:i w:val="0"/>
          <w:color w:val="000000"/>
          <w:sz w:val="21"/>
        </w:rPr>
        <w:t xml:space="preserve">Comments 4: </w:t>
      </w:r>
      <w:r>
        <w:rPr>
          <w:rFonts w:ascii="Times New Roman" w:hAnsi="Times New Roman" w:cs="Times New Roman"/>
          <w:b w:val="0"/>
          <w:i w:val="0"/>
          <w:color w:val="000000"/>
          <w:sz w:val="21"/>
        </w:rPr>
        <w:t>The qualitative comparisons in Figures 4 and 5 are visually informative, but the enlarged regions are too small to clearly observe restoration differences, and several methods appear visually similar. The authors should provide higher-resolution ROI comparisons with clearer annotations, especially for scratch removal, texture recovery, and temporal consistency evaluation. A supplementary video comparison would further improve the evaluation.</w:t>
      </w:r>
    </w:p>
    <w:p w14:paraId="00100062" w14:textId="00100063">
      <w:pPr>
        <w:spacing w:after="80"/>
      </w:pPr>
      <w:r>
        <w:rPr>
          <w:rFonts w:ascii="Times New Roman" w:hAnsi="Times New Roman" w:cs="Times New Roman"/>
          <w:b/>
          <w:i w:val="0"/>
          <w:color w:val="FF0000"/>
          <w:sz w:val="21"/>
        </w:rPr>
        <w:t xml:space="preserve">Response 4: </w:t>
      </w:r>
    </w:p>
    <w:p w14:paraId="00100064" w14:textId="0010009A">
      <w:pPr>
        <w:spacing w:before="0" w:after="120"/>
      </w:pPr>
      <w:r>
        <w:rPr>
          <w:rFonts w:ascii="Times New Roman" w:hAnsi="Times New Roman" w:cs="Times New Roman"/>
          <w:b w:val="0"/>
          <w:i w:val="0"/>
          <w:color w:val="FF0000"/>
          <w:sz w:val="21"/>
        </w:rPr>
        <w:t xml:space="preserve">We thank the reviewer for the constructive suggestions. In the revised manuscript, Figures 4 and 5 have been restored as full-method qualitative comparison panels using the original multi-method layout and page-width rendering. The captions now explicitly state the columns, selected clips, and visible restoration criteria. We additionally provide Supplementary Video S1, a two-part side-by-side temporal comparison: the first part shows REDS-synthetic clips against the ground truth with per-frame PSNR, and the second part shows real-world SRWOV clips annotated with the overall no-reference NIQE and BRISQUE, so that reviewers can assess both fidelity and real-world temporal consistency.</w:t>
      </w:r>
    </w:p>
    <w:p w14:paraId="00100066" w14:textId="00100067">
      <w:pPr>
        <w:spacing w:after="80"/>
      </w:pPr>
      <w:r>
        <w:rPr>
          <w:rFonts w:ascii="Times New Roman" w:hAnsi="Times New Roman" w:cs="Times New Roman"/>
          <w:b/>
          <w:i/>
          <w:color w:val="FF0000"/>
          <w:sz w:val="21"/>
        </w:rPr>
        <w:t xml:space="preserve">Revision made: </w:t>
      </w:r>
    </w:p>
    <w:p w14:paraId="00100068" w14:textId="00100258">
      <w:pPr>
        <w:spacing w:before="0" w:after="120"/>
      </w:pPr>
      <w:r>
        <w:rPr>
          <w:rFonts w:ascii="Times New Roman" w:hAnsi="Times New Roman" w:cs="Times New Roman"/>
          <w:b w:val="0"/>
          <w:i w:val="0"/>
          <w:color w:val="FF0000"/>
          <w:sz w:val="21"/>
        </w:rPr>
        <w:t xml:space="preserve">Updated Figures 4 and 5 in Section 4.3.3 and rebuilt the source package with the revised Figure 4 and Figure 5 assets.</w:t>
      </w:r>
    </w:p>
    <w:p w14:paraId="0010006A" w14:textId="0010006B">
      <w:pPr>
        <w:spacing w:before="160" w:after="80"/>
      </w:pPr>
      <w:r>
        <w:rPr>
          <w:rFonts w:ascii="Times New Roman" w:hAnsi="Times New Roman" w:cs="Times New Roman"/>
          <w:b/>
          <w:i w:val="0"/>
          <w:color w:val="000000"/>
          <w:sz w:val="21"/>
        </w:rPr>
        <w:t xml:space="preserve">Comments 5: </w:t>
      </w:r>
      <w:r>
        <w:rPr>
          <w:rFonts w:ascii="Times New Roman" w:hAnsi="Times New Roman" w:cs="Times New Roman"/>
          <w:b w:val="0"/>
          <w:i w:val="0"/>
          <w:color w:val="000000"/>
          <w:sz w:val="21"/>
        </w:rPr>
        <w:t>The computational complexity analysis is insufficient for a practical restoration framework. No detailed runtime, GPU memory consumption, parameter efficiency, or FPS comparison is provided against MambaOFR and transformer-based baselines.</w:t>
      </w:r>
    </w:p>
    <w:p w14:paraId="0010006C" w14:textId="0010006D">
      <w:pPr>
        <w:spacing w:after="80"/>
      </w:pPr>
      <w:r>
        <w:rPr>
          <w:rFonts w:ascii="Times New Roman" w:hAnsi="Times New Roman" w:cs="Times New Roman"/>
          <w:b/>
          <w:i w:val="0"/>
          <w:color w:val="FF0000"/>
          <w:sz w:val="21"/>
        </w:rPr>
        <w:t xml:space="preserve">Response 5: </w:t>
      </w:r>
    </w:p>
    <w:p w14:paraId="0010006E" w14:textId="00100098">
      <w:pPr>
        <w:spacing w:before="0" w:after="120"/>
      </w:pPr>
      <w:r>
        <w:t>We thank the reviewer for requesting a thorough complexity analysis. We now report parameters, FLOPs, latency, peak GPU memory, and FPS in Section 4.6 (Complexity Analysis) under the same executable BasicOFR benchmark protocol. The MgfrOFR row uses the final average-fusion configuration and reports 8.754M parameters, 3107.8G FLOPs per seven-frame clip, 488.5 ms/clip latency, 14.3 FPS, and 0.61 GB peak memory.</w:t>
      </w:r>
    </w:p>
    <w:p w14:paraId="00100070" w14:textId="00100071">
      <w:pPr>
        <w:spacing w:after="80"/>
      </w:pPr>
      <w:r>
        <w:rPr>
          <w:rFonts w:ascii="Times New Roman" w:hAnsi="Times New Roman" w:cs="Times New Roman"/>
          <w:b/>
          <w:i/>
          <w:color w:val="FF0000"/>
          <w:sz w:val="21"/>
        </w:rPr>
        <w:t xml:space="preserve">Revision made: </w:t>
      </w:r>
    </w:p>
    <w:p w14:paraId="00100072" w14:textId="00100073">
      <w:pPr>
        <w:spacing w:before="0" w:after="120"/>
      </w:pPr>
      <w:r>
        <w:t>Updated Section 4.6 (Complexity Analysis) and stated the benchmark setting used for the reported parameter, FLOP, latency, FPS, and peak-memory values.</w:t>
      </w:r>
    </w:p>
    <w:p w14:paraId="0010026B" w14:textId="0010026C">
      <w:r>
        <w:rPr>
          <w:b/>
        </w:rPr>
        <w:t>Evidence location: </w:t>
      </w:r>
      <w:r>
        <w:t xml:space="preserve">The efficiency evidence is now located in Section 4.6 (Complexity Analysis). That section reports parameters, FLOPs, latency, FPS, and peak GPU memory under the same L40 FP32 benchmark protocol, and it states the benchmark shape and timing procedure so the overhead of the final average-fusion MgfrOFR configuration can be checked directly from the manuscript.</w:t>
      </w:r>
    </w:p>
    <w:p w14:paraId="00100074" w14:textId="00100075">
      <w:pPr>
        <w:spacing w:before="160" w:after="80"/>
      </w:pPr>
      <w:r>
        <w:rPr>
          <w:rFonts w:ascii="Times New Roman" w:hAnsi="Times New Roman" w:cs="Times New Roman"/>
          <w:b/>
          <w:i w:val="0"/>
          <w:color w:val="000000"/>
          <w:sz w:val="21"/>
        </w:rPr>
        <w:t xml:space="preserve">Comments 6: </w:t>
      </w:r>
      <w:r>
        <w:rPr>
          <w:rFonts w:ascii="Times New Roman" w:hAnsi="Times New Roman" w:cs="Times New Roman"/>
          <w:b w:val="0"/>
          <w:i w:val="0"/>
          <w:color w:val="000000"/>
          <w:sz w:val="21"/>
        </w:rPr>
        <w:t>The manuscript would benefit from a stronger discussion of limitations and failure cases. The current discussion briefly mentions over-smoothing and flow-alignment errors, but no dedicated failure analysis is presented.</w:t>
      </w:r>
    </w:p>
    <w:p w14:paraId="00100076" w14:textId="00100077">
      <w:pPr>
        <w:spacing w:after="80"/>
      </w:pPr>
      <w:r>
        <w:rPr>
          <w:rFonts w:ascii="Times New Roman" w:hAnsi="Times New Roman" w:cs="Times New Roman"/>
          <w:b/>
          <w:i w:val="0"/>
          <w:color w:val="FF0000"/>
          <w:sz w:val="21"/>
        </w:rPr>
        <w:t xml:space="preserve">Response 6: </w:t>
      </w:r>
    </w:p>
    <w:p w14:paraId="00100078" w14:textId="0010008B">
      <w:pPr>
        <w:spacing w:before="0" w:after="120"/>
      </w:pPr>
      <w:r>
        <w:rPr>
          <w:rFonts w:ascii="Times New Roman" w:hAnsi="Times New Roman" w:cs="Times New Roman"/>
          <w:b w:val="0"/>
          <w:i w:val="0"/>
          <w:color w:val="FF0000"/>
          <w:sz w:val="21"/>
        </w:rPr>
        <w:t xml:space="preserve">We thank the reviewer for highlighting the need for a clearer failure analysis. We expanded the discussion and limitations sections to state when MgfrOFR can be less favorable, especially when degradation is dominated by a narrow or weakly heterogeneous corruption pattern, and to separate no-reference naturalness from content-fidelity claims.</w:t>
      </w:r>
    </w:p>
    <w:p w14:paraId="0010007A" w14:textId="0010007B">
      <w:pPr>
        <w:spacing w:after="80"/>
      </w:pPr>
      <w:r>
        <w:rPr>
          <w:rFonts w:ascii="Times New Roman" w:hAnsi="Times New Roman" w:cs="Times New Roman"/>
          <w:b/>
          <w:i/>
          <w:color w:val="FF0000"/>
          <w:sz w:val="21"/>
        </w:rPr>
        <w:t xml:space="preserve">Revision made: </w:t>
      </w:r>
    </w:p>
    <w:p w14:paraId="0010007C" w14:textId="00100259">
      <w:pPr>
        <w:spacing w:before="0" w:after="120"/>
      </w:pPr>
      <w:r>
        <w:rPr>
          <w:rFonts w:ascii="Times New Roman" w:hAnsi="Times New Roman" w:cs="Times New Roman"/>
          <w:b w:val="0"/>
          <w:i w:val="0"/>
          <w:color w:val="FF0000"/>
          <w:sz w:val="21"/>
        </w:rPr>
        <w:t xml:space="preserve">Expanded the failure and limitations discussion in Sections 4.7.4 and 4.7.5. We do not claim an additional failure-case figure; the failure analysis is confined to the revised discussion and the validated final figure set.</w:t>
      </w:r>
    </w:p>
    <w:p w14:paraId="0010026D" w14:textId="0010026E">
      <w:r>
        <w:rPr>
          <w:b/>
        </w:rPr>
        <w:t>Evidence location: </w:t>
      </w:r>
      <w:r>
        <w:t xml:space="preserve">The real-world no-reference results and the associated claim boundary are now in Section 4.3.2, Table 2, and Section 4.7. The text explicitly states that MgfrOFR improves NIQE and BRISQUE relative to MambaOFR but is not claimed to outperform MambaOFR or OldPhoto on CLIP-IQA+. We made this wording deliberately conservative because the real-world set has no ground truth.</w:t>
      </w:r>
    </w:p>
    <w:p w14:paraId="0010007E" w14:textId="0010007F">
      <w:pPr>
        <w:spacing w:before="200" w:after="80"/>
      </w:pPr>
      <w:r>
        <w:rPr>
          <w:rFonts w:ascii="Times New Roman" w:hAnsi="Times New Roman" w:cs="Times New Roman"/>
          <w:b/>
          <w:i w:val="0"/>
          <w:color w:val="000000"/>
          <w:sz w:val="24"/>
        </w:rPr>
        <w:t>4. Response to Comments on the Quality of English Language</w:t>
      </w:r>
    </w:p>
    <w:p w14:paraId="00100080" w14:textId="00100081">
      <w:pPr>
        <w:spacing w:before="0" w:after="120"/>
      </w:pPr>
      <w:r>
        <w:rPr>
          <w:rFonts w:ascii="Times New Roman" w:hAnsi="Times New Roman" w:cs="Times New Roman"/>
          <w:b w:val="0"/>
          <w:i w:val="0"/>
          <w:color w:val="000000"/>
          <w:sz w:val="21"/>
        </w:rPr>
        <w:t>Point: The reviewer's assessment of the English language was: The English could be improved to more clearly express the research.</w:t>
      </w:r>
    </w:p>
    <w:p w14:paraId="00100082" w14:textId="00100083">
      <w:pPr>
        <w:spacing w:before="0" w:after="120"/>
      </w:pPr>
      <w:r>
        <w:rPr>
          <w:rFonts w:ascii="Times New Roman" w:hAnsi="Times New Roman" w:cs="Times New Roman"/>
          <w:b w:val="0"/>
          <w:i w:val="0"/>
          <w:color w:val="FF0000"/>
          <w:sz w:val="21"/>
        </w:rPr>
        <w:t xml:space="preserve">We thank the reviewer. After all quantitative values were finalized, the revised manuscript was carefully proofread for terminology consistency, repeated wording, and overly long sentences while preserving all reported numbers.</w:t>
      </w:r>
    </w:p>
    <w:p w14:paraId="00100084" w14:textId="00100085">
      <w:pPr>
        <w:spacing w:before="200" w:after="80"/>
      </w:pPr>
      <w:r>
        <w:rPr>
          <w:rFonts w:ascii="Times New Roman" w:hAnsi="Times New Roman" w:cs="Times New Roman"/>
          <w:b/>
          <w:i w:val="0"/>
          <w:color w:val="000000"/>
          <w:sz w:val="24"/>
        </w:rPr>
        <w:t>5. Additional clarifications</w:t>
      </w:r>
    </w:p>
    <w:p w14:paraId="00100086" w14:textId="00100087">
      <w:pPr>
        <w:spacing w:before="0" w:after="120"/>
      </w:pPr>
      <w:r>
        <w:rPr>
          <w:rFonts w:ascii="Times New Roman" w:hAnsi="Times New Roman" w:cs="Times New Roman"/>
          <w:b w:val="0"/>
          <w:i w:val="0"/>
          <w:color w:val="FF0000"/>
          <w:sz w:val="21"/>
        </w:rPr>
        <w:t>We sincerely thank Reviewer 1 for the careful and rigorous review, which has substantially improved the manuscript. A marked-up version with all changes highlighted has been uploaded together with the revised manuscript.</w:t>
      </w:r>
    </w:p>
    <w:sectPr w:rsidRPr="0006063C" w:rsidR="00FC69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0</ap:Characters>
  <ap:Application>Microsoft Macintosh Word</ap:Application>
  <ap:DocSecurity>0</ap:DocSecurity>
  <ap:Lines>0</ap:Lines>
  <ap:Paragraphs>0</ap:Paragraphs>
  <ap:ScaleCrop>false</ap:ScaleCrop>
  <ap:HeadingPairs>
    <vt:vector baseType="variant" size="2">
      <vt:variant>
        <vt:lpstr>Title</vt:lpstr>
      </vt:variant>
      <vt:variant>
        <vt:i4>1</vt:i4>
      </vt:variant>
    </vt:vector>
  </ap:HeadingPairs>
  <ap:TitlesOfParts>
    <vt:vector baseType="lpstr" size="1">
      <vt:lpstr/>
    </vt:vector>
  </ap:TitlesOfParts>
  <ap:Manager/>
  <ap:Company/>
  <ap:LinksUpToDate>false</ap:LinksUpToDate>
  <ap:CharactersWithSpaces>0</ap:CharactersWithSpaces>
  <ap:SharedDoc>false</ap:SharedDoc>
  <ap:HyperlinkBase/>
  <ap:HyperlinksChanged>false</ap:HyperlinksChanged>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1.0.125</vt:lpwstr>
  </op:property>
  <op:property fmtid="{D5CDD505-2E9C-101B-9397-08002B2CF9AE}" pid="3" name="OfficeCLI.LastModified">
    <vt:lpwstr xmlns:vt="http://schemas.openxmlformats.org/officeDocument/2006/docPropsVTypes">2026-07-01T07:52:44Z</vt:lpwstr>
  </op:property>
</op:Properties>
</file>