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黑体" w:hAnsi="宋体" w:eastAsia="黑体"/>
          <w:b/>
          <w:kern w:val="20"/>
          <w:sz w:val="48"/>
          <w:szCs w:val="48"/>
        </w:rPr>
      </w:pPr>
      <w:r>
        <w:rPr>
          <w:rFonts w:hint="eastAsia" w:ascii="黑体" w:hAnsi="宋体" w:eastAsia="黑体"/>
          <w:b/>
          <w:kern w:val="20"/>
          <w:sz w:val="48"/>
          <w:szCs w:val="48"/>
          <w:lang w:val="en-US" w:eastAsia="zh-CN"/>
        </w:rPr>
        <w:t>{{year}}</w:t>
      </w:r>
      <w:r>
        <w:rPr>
          <w:rFonts w:hint="eastAsia" w:ascii="黑体" w:hAnsi="宋体" w:eastAsia="黑体"/>
          <w:b/>
          <w:kern w:val="20"/>
          <w:sz w:val="48"/>
          <w:szCs w:val="48"/>
        </w:rPr>
        <w:t>年1-</w:t>
      </w:r>
      <w:r>
        <w:rPr>
          <w:rFonts w:hint="eastAsia" w:ascii="黑体" w:hAnsi="宋体" w:eastAsia="黑体"/>
          <w:b/>
          <w:kern w:val="20"/>
          <w:sz w:val="48"/>
          <w:szCs w:val="48"/>
          <w:lang w:val="en-US" w:eastAsia="zh-CN"/>
        </w:rPr>
        <w:t>{{month}}</w:t>
      </w:r>
      <w:r>
        <w:rPr>
          <w:rFonts w:hint="eastAsia" w:ascii="黑体" w:hAnsi="宋体" w:eastAsia="黑体"/>
          <w:b/>
          <w:kern w:val="20"/>
          <w:sz w:val="48"/>
          <w:szCs w:val="48"/>
        </w:rPr>
        <w:t>月份财政运行情况</w:t>
      </w:r>
    </w:p>
    <w:p>
      <w:pPr>
        <w:spacing w:line="580" w:lineRule="exact"/>
        <w:jc w:val="center"/>
        <w:rPr>
          <w:rFonts w:hint="eastAsia" w:ascii="黑体" w:hAnsi="宋体" w:eastAsia="黑体"/>
          <w:b/>
          <w:kern w:val="20"/>
          <w:sz w:val="48"/>
          <w:szCs w:val="48"/>
        </w:rPr>
      </w:pP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一、财政收支完成情况</w:t>
      </w:r>
    </w:p>
    <w:p>
      <w:pPr>
        <w:spacing w:line="600" w:lineRule="exact"/>
        <w:ind w:firstLine="643" w:firstLineChars="200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（一）财政收入执行情况</w:t>
      </w:r>
    </w:p>
    <w:p>
      <w:pPr>
        <w:spacing w:line="600" w:lineRule="exact"/>
        <w:ind w:firstLine="604" w:firstLineChars="189"/>
        <w:rPr>
          <w:rFonts w:hint="default" w:ascii="仿宋" w:hAnsi="仿宋" w:eastAsia="仿宋"/>
          <w:kern w:val="2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1-</w:t>
      </w:r>
      <w:bookmarkStart w:id="0" w:name="_GoBack"/>
      <w:bookmarkEnd w:id="0"/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{{month}}</w:t>
      </w:r>
      <w:r>
        <w:rPr>
          <w:rFonts w:hint="eastAsia" w:ascii="仿宋" w:hAnsi="仿宋" w:eastAsia="仿宋" w:cs="宋体"/>
          <w:kern w:val="0"/>
          <w:sz w:val="32"/>
          <w:szCs w:val="32"/>
        </w:rPr>
        <w:t>月，</w:t>
      </w:r>
      <w:r>
        <w:rPr>
          <w:rFonts w:hint="eastAsia" w:ascii="仿宋" w:hAnsi="仿宋" w:eastAsia="仿宋"/>
          <w:kern w:val="20"/>
          <w:sz w:val="32"/>
          <w:szCs w:val="32"/>
        </w:rPr>
        <w:t>全市财政总收入完成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{{cz_total}}</w:t>
      </w:r>
      <w:r>
        <w:rPr>
          <w:rFonts w:hint="eastAsia" w:ascii="仿宋" w:hAnsi="仿宋" w:eastAsia="仿宋"/>
          <w:kern w:val="20"/>
          <w:sz w:val="32"/>
          <w:szCs w:val="32"/>
        </w:rPr>
        <w:t>亿元，较上年同期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{{cz_total_tb_bfb}}</w:t>
      </w:r>
      <w:r>
        <w:rPr>
          <w:rFonts w:hint="eastAsia" w:ascii="仿宋" w:hAnsi="仿宋" w:eastAsia="仿宋"/>
          <w:kern w:val="20"/>
          <w:sz w:val="32"/>
          <w:szCs w:val="32"/>
        </w:rPr>
        <w:t>%（下同）；公共财政预算收入完成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{{cz_ybgg}}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{{cz_ybgg_tb_bfb}}</w:t>
      </w:r>
      <w:r>
        <w:rPr>
          <w:rFonts w:hint="eastAsia" w:ascii="仿宋" w:hAnsi="仿宋" w:eastAsia="仿宋"/>
          <w:kern w:val="20"/>
          <w:sz w:val="32"/>
          <w:szCs w:val="32"/>
        </w:rPr>
        <w:t>%；上划中央收入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{{cz_zy}}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{{cz_zy_tb_bfb}}</w:t>
      </w:r>
      <w:r>
        <w:rPr>
          <w:rFonts w:hint="eastAsia" w:ascii="仿宋" w:hAnsi="仿宋" w:eastAsia="仿宋"/>
          <w:kern w:val="20"/>
          <w:sz w:val="32"/>
          <w:szCs w:val="32"/>
        </w:rPr>
        <w:t>%；上划省级收入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{{cz_shengji}}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{{cz_shengji_tb_bfb}}</w:t>
      </w:r>
      <w:r>
        <w:rPr>
          <w:rFonts w:hint="eastAsia" w:ascii="仿宋" w:hAnsi="仿宋" w:eastAsia="仿宋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分部门完成情况：</w:t>
      </w:r>
      <w:r>
        <w:rPr>
          <w:rFonts w:hint="eastAsia" w:ascii="仿宋" w:hAnsi="仿宋" w:eastAsia="仿宋"/>
          <w:kern w:val="20"/>
          <w:sz w:val="32"/>
          <w:szCs w:val="32"/>
        </w:rPr>
        <w:t>税务部门完成收入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{{cz_tax}}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{{cz_tax_tb_bfb}}</w:t>
      </w:r>
      <w:r>
        <w:rPr>
          <w:rFonts w:hint="eastAsia" w:ascii="仿宋" w:hAnsi="仿宋" w:eastAsia="仿宋"/>
          <w:kern w:val="20"/>
          <w:sz w:val="32"/>
          <w:szCs w:val="32"/>
        </w:rPr>
        <w:t>%；财政部门完成收入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{{cz_finance}}</w:t>
      </w:r>
      <w:r>
        <w:rPr>
          <w:rFonts w:hint="eastAsia" w:ascii="仿宋" w:hAnsi="仿宋" w:eastAsia="仿宋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{{cz_finance_tb_bfb}}</w:t>
      </w:r>
      <w:r>
        <w:rPr>
          <w:rFonts w:hint="eastAsia" w:ascii="仿宋" w:hAnsi="仿宋" w:eastAsia="仿宋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仿宋_GB2312"/>
          <w:b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市级、县（区）完成情况</w:t>
      </w: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：</w:t>
      </w:r>
    </w:p>
    <w:p>
      <w:pPr>
        <w:spacing w:line="600" w:lineRule="exact"/>
        <w:ind w:firstLine="604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市本级财政总收入完成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cz_sbj}}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cz_sbj_tb_bfb}}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</w:t>
      </w:r>
    </w:p>
    <w:p>
      <w:pPr>
        <w:spacing w:line="600" w:lineRule="exact"/>
        <w:ind w:firstLine="604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高新区财政总收入完成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cz_gxq}}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cz_gxq_tb_bfb}}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县（区）财政总收入完成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cz_qxhj}}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cz_qxhj_tb_bfb}}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主要税种完成情况：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增值税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cz_zzs}}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cz_zzs_tb_bfb}}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%；消费税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cz_xfs}}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cz_xfs_tb_bfb}}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%；企业所得税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cz_qysds}}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cz_qysds_tb_bfb}}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%；个人所得税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cz_grsds}}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cz_grsds_tb_bfb}}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%；城市维护建设税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cz_cswhjss}}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cz_cswhjss_tb_bfb}}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%；土地增值税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cz_tdzzs}}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cz_tdzzs_tb_bfb}}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%；契税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{{cz_qs}}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{{cz_qs_tb_bfb}}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（二）财政支出执行情况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月，全市公共财政预算支出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亿元，同比减支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{{zc_hj_cz}}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%。主要支出项目完成情况是：一般公共服务支出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{{zc_ybggfw}}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{{zc_ybggfw_tb_bfb}}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%；公共安全支出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{{zc_ggaq}}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{{zc_ggaq_tb_bfb}}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%；教育支出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{{zc_jy_tb_bfb}}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%；科技支出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{{zc_kxjs}}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{{zc_kxjs_tb_bfb}}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%；文化体育与传媒支出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{{zc_whtyycm}}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{{zc_whtyycm_tb_bfb}}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%；社会保障和就业支出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{{zc_shbzhjy}}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{{zc_shbzhjy_tb_bfb 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%；医疗卫生支出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{{zc_ylws}}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zc_ylws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%；节能环保支出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{{zc_jnhb}}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{{zc_jnhb_tb_bfb}}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%；城乡社区事务支出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{{zc_cxsqsw}}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{{zc_cxsqsw_tb_bfb}}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%；农林水事务支出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{{zc_nlsss}}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{{zc_nlsss_tb_bfb}}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%；交通运输支出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{{zc_jtys}}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{{zc_jtys_tb_bfb}}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%；资源勘探电力信息等事务支出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{{zc_zyktgy}}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{{zc_zyktgy_tb_bfb}}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%；金融支出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{{zc_jr}}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亿元，较上年大幅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{{zc_jr_tb_bfb}}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；住房保障支出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{{zc_zfbz}}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{{zc_zfbz_bfb}}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%；灾害防治及应急管理支出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{{zc_znfz}}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{{zc_znfz_tb_bfb}}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</w:p>
    <w:p>
      <w:pPr>
        <w:spacing w:line="600" w:lineRule="exact"/>
        <w:ind w:firstLine="607" w:firstLineChars="189"/>
        <w:rPr>
          <w:rFonts w:hint="eastAsia" w:ascii="仿宋" w:hAnsi="仿宋" w:eastAsia="仿宋" w:cs="楷体"/>
          <w:b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（三）政府性基金预算执行情况</w:t>
      </w:r>
    </w:p>
    <w:p>
      <w:pPr>
        <w:spacing w:line="600" w:lineRule="exact"/>
        <w:ind w:firstLine="607" w:firstLineChars="189"/>
        <w:rPr>
          <w:rFonts w:hint="default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政府性基金收入：</w:t>
      </w:r>
    </w:p>
    <w:p>
      <w:pPr>
        <w:spacing w:line="600" w:lineRule="exact"/>
        <w:ind w:firstLine="640" w:firstLineChars="200"/>
        <w:rPr>
          <w:rFonts w:hint="eastAsia" w:ascii="仿宋" w:hAnsi="仿宋" w:eastAsia="仿宋" w:cs="仿宋_GB2312"/>
          <w:color w:val="FF0000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月，全市政府性基金收入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{{cz_zfxjj}}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{{cz_zfxjj_tb_bfb}}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%，其中：国土基金收入完成收入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{{cz_gtjj}}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</w:t>
      </w:r>
      <w:r>
        <w:rPr>
          <w:rFonts w:hint="eastAsia" w:ascii="仿宋" w:hAnsi="仿宋" w:eastAsia="仿宋"/>
          <w:kern w:val="20"/>
          <w:sz w:val="32"/>
          <w:szCs w:val="32"/>
          <w:lang w:val="en-US" w:eastAsia="zh-CN"/>
        </w:rPr>
        <w:t>{{cz_gtjj_tb_bfb}}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%。</w:t>
      </w:r>
      <w:r>
        <w:rPr>
          <w:rFonts w:hint="eastAsia" w:ascii="仿宋" w:hAnsi="仿宋" w:eastAsia="仿宋" w:cs="仿宋_GB2312"/>
          <w:color w:val="FF0000"/>
          <w:kern w:val="20"/>
          <w:sz w:val="32"/>
          <w:szCs w:val="32"/>
        </w:rPr>
        <w:t>全市12个县（区）除临川、乐安、广昌三县区下降外，其他县区都在增长。</w:t>
      </w:r>
    </w:p>
    <w:p>
      <w:pPr>
        <w:spacing w:line="600" w:lineRule="exact"/>
        <w:ind w:firstLine="607" w:firstLineChars="189"/>
        <w:rPr>
          <w:rFonts w:hint="default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政府性基金支出：</w:t>
      </w:r>
    </w:p>
    <w:p>
      <w:pPr>
        <w:spacing w:line="600" w:lineRule="exact"/>
        <w:ind w:firstLine="604" w:firstLineChars="189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1-</w:t>
      </w:r>
      <w:r>
        <w:rPr>
          <w:rFonts w:hint="eastAsia" w:ascii="仿宋" w:hAnsi="仿宋" w:eastAsia="仿宋" w:cs="仿宋_GB2312"/>
          <w:kern w:val="20"/>
          <w:sz w:val="32"/>
          <w:szCs w:val="32"/>
          <w:lang w:eastAsia="zh-CN"/>
        </w:rPr>
        <w:t>{{month}}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月，全市基金支出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{{zc_hjjj}}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亿元，增长</w:t>
      </w:r>
      <w:r>
        <w:rPr>
          <w:rFonts w:hint="eastAsia" w:ascii="仿宋" w:hAnsi="仿宋" w:eastAsia="仿宋" w:cs="仿宋_GB2312"/>
          <w:kern w:val="20"/>
          <w:sz w:val="32"/>
          <w:szCs w:val="32"/>
          <w:lang w:val="en-US" w:eastAsia="zh-CN"/>
        </w:rPr>
        <w:t>{{zc_hjjj_tb_bfb}}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%，其中：国土基金支出51.8亿元，增长14.2%。</w:t>
      </w: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二、财政收支运行主要特点及分析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（一）收入形势逐步回升。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全市财政总收入下降7.2%，降幅较一季度收窄2.1个百分点，全省排位第八；一般公共预算收入下降1.1%，降幅较一季度提高1.6个百分点，全省排位第五。其中，宜黄县和资溪县财政总收入实现正增长，增幅分别为2.7%和0.2%。</w:t>
      </w:r>
    </w:p>
    <w:p>
      <w:pPr>
        <w:spacing w:line="600" w:lineRule="exact"/>
        <w:ind w:firstLine="640" w:firstLineChars="200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5月当月财政总收入增长3.3%，是今年自2-4月连续三个月当月负增长后出现的正增长。从1-5月收入数据显示，3月是收入降幅最大的月份，4月降幅明显收窄，5月向好的方向 发展，较4月回升12.8个百分点，较3月回升39.5个百分点。一般公共预算收入在5月当月首次实现两位数增长，较去年增长10.6%。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（二）税收收入降幅收窄。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累计税收收入下降12.4%，降幅较1-4月收窄2.7个百分点，其中宜黄县保持增长势头，连续2个月成为全市各县（区）税收正增长的唯一县（区）。全市5月当月实现16.1亿元，是3月完成数的2倍多，较去年同期增长0.1%。税收收入有所好转主要得益于小税种的高增长，如耕地占用税、契税、个人所得税增长均超38%。</w:t>
      </w:r>
    </w:p>
    <w:p>
      <w:pPr>
        <w:spacing w:line="600" w:lineRule="exact"/>
        <w:ind w:firstLine="627" w:firstLineChars="196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从行业看，1-5月工业税收下降30.3%，较1-4月收窄3.4个百分点，其中乐安县逆势增长95.9%、增收0.3亿元；建筑安装业税收增长9.5%，较1-4月上升4.5个百分点，其中宜黄县、东乡（区）和金溪县分别增长46.7%、41.3%、37.3%；交通运输业税收下降11.8%，较1-4月收窄12个百分点，其中黎川县、资溪县、崇仁县和临川（区）实现正增长，共计增收0.5亿元，为降幅收窄贡献7.4个百分点。</w:t>
      </w:r>
      <w:r>
        <w:rPr>
          <w:rFonts w:hint="default" w:ascii="仿宋" w:hAnsi="仿宋" w:eastAsia="仿宋" w:cs="仿宋_GB2312"/>
          <w:kern w:val="20"/>
          <w:sz w:val="32"/>
          <w:szCs w:val="32"/>
        </w:rPr>
        <w:t xml:space="preserve"> 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（三）非税收入超出进度。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我市财政收入主要指标中，1-5月仅有非税收入一直保持正增长，1-5月累计完成32.1亿元，增长9.3%，已完成全年预期目标的98.9%，超序时进度57.2个百分点，有半数县（区）超额完成全年预期，为全市财政收入降幅收窄贡献2.2个百分点。</w:t>
      </w:r>
    </w:p>
    <w:p>
      <w:pPr>
        <w:spacing w:line="600" w:lineRule="exact"/>
        <w:ind w:firstLine="627" w:firstLineChars="196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>东乡区积极盘活矿产资源，出让探矿权，1-5月完成非税收入5.4亿元，占县（区）完成数的23.5%，成为拉动我市非税收入增长的主动力，为全市非税收入做出了重大贡献。</w:t>
      </w:r>
    </w:p>
    <w:p>
      <w:pPr>
        <w:spacing w:line="600" w:lineRule="exact"/>
        <w:ind w:firstLine="630" w:firstLineChars="196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（四）民生支出得到保障。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1-5月一般公共预算支出180.9亿元，环比增长28.2%。在受疫情影响财政收入下降的情况下，全市各级财政通过本级财力安排、争取上级支持、盘活存量资金等多个渠道及时筹措民生保障资金，不断加大民生投入，全力解决好各类民生问题。我市民生支出占比长期保持在75%以上，其中1-5月用于教育、科技、农林水、社保、医疗、节能环</w:t>
      </w:r>
      <w:r>
        <w:rPr>
          <w:rFonts w:hint="eastAsia" w:ascii="仿宋" w:hAnsi="仿宋" w:eastAsia="仿宋"/>
          <w:sz w:val="32"/>
          <w:szCs w:val="32"/>
        </w:rPr>
        <w:t>保、住房保障、城乡社区事务支出等十三项民生支出总量达140.37亿元，占公共预算支出比重为77.6%。全市用于疫情防控支出1.58亿元，其中市本级安排0.32亿元。</w:t>
      </w:r>
    </w:p>
    <w:p>
      <w:pPr>
        <w:spacing w:line="600" w:lineRule="exact"/>
        <w:ind w:firstLine="604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三、存在的问题</w:t>
      </w:r>
    </w:p>
    <w:p>
      <w:pPr>
        <w:spacing w:line="600" w:lineRule="exact"/>
        <w:ind w:firstLine="472" w:firstLineChars="147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（一）收入质量亟待改善。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 xml:space="preserve">在财政收入规模和增速一定的情况下，衡量财政收入质量关键看财政收入税比和一般公共预算收入税比。我市财政收入税比和一般公共预算收入税比已连续5个月排全省第11位。1-5月财政收入税比71.7%、低全省税比7.6个百分点、较去年同期下降4.3个百分点。1-5月一般公共预算收入税比57.9%、低全省税比8.1个百分点、较去年同期下降4个百分点。高质量的财政收入是经济发展和社会稳定的重要保障。面对我市收入质量的严峻现状，全市上下要群策群力，尽快提高税收占比以改善收入质量。 </w:t>
      </w:r>
    </w:p>
    <w:p>
      <w:pPr>
        <w:ind w:firstLine="480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kern w:val="20"/>
          <w:sz w:val="32"/>
          <w:szCs w:val="32"/>
        </w:rPr>
        <w:t xml:space="preserve">（二）税收总量同比有差距。2019年1-5月税收收入 92.9亿元，2020年1-5月税收收入81.3亿元，下降12.4%，减收11.5亿元，其中：高新区下降18.5%、减收2亿元，东乡区17.1%、减收2亿元，广昌县16.1%、减收0.7亿元。 </w:t>
      </w:r>
    </w:p>
    <w:p>
      <w:pPr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楷体"/>
          <w:b/>
          <w:sz w:val="32"/>
          <w:szCs w:val="32"/>
        </w:rPr>
        <w:t>（三）支出总量同比有下降。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2019年1-5月支出192.8亿元，2020年1-5月支出180.9亿元，下降6.2%，随收入形势的逐步回升支出下降幅度逐月收窄。全市12个县（区）有临川、东乡、南城、乐安4个县（区）支出下降，其中临川区呈两位数下降。从1-5月公共预算支出分县（区）执行情况表来看，固定统计的九类支出，城乡社区事务支出增长19.1%，农林水事务支出增长8.7%，其他七类支出都下降，其中科学技术支出下降35.9%、下降幅度最大。</w:t>
      </w:r>
    </w:p>
    <w:p>
      <w:pPr>
        <w:spacing w:line="600" w:lineRule="exact"/>
        <w:ind w:firstLine="396" w:firstLineChars="18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 xml:space="preserve"> 四、下一步工作重点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（一）注重收入质量。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全市各级财税部门要强化征缴管理，加大税收清缴力度，坚持抓大与促小并重，既要重视增值税、企业所得税、消费税等主体税种的征缴，也要加强个人所得税、房产税、土地使用税等地方税种的清理，从而逐步提高税收占财政收入、一般公共预算收入的比重，切实增加可用财力支持地方经济发展。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（二）全力组织收入。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全市各级财税部门要牢牢把握组织收入这条主线不放松，以实现去年“双过半”收入完成数为奋斗目标，深刻分析各种税种收入与相关收入指标的关系，进一步精细税源管理，深化征管改革，大力挖潜增收，奋战六月，多措并举，全力组织收入，力争我市财政持续稳定增收。</w:t>
      </w:r>
    </w:p>
    <w:p>
      <w:pPr>
        <w:tabs>
          <w:tab w:val="center" w:pos="4153"/>
        </w:tabs>
        <w:spacing w:line="600" w:lineRule="exact"/>
        <w:ind w:firstLine="482" w:firstLineChars="150"/>
        <w:rPr>
          <w:rFonts w:hint="default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（三）积累财源后劲。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各县（区）要要想方设法壮大培育财源，发挥优势，突出重点，通过政策扶持、资金投入，进一步巩固基础财源，壮大主体财源，密切关注本县（区）重点行业，聚焦民生建设、基础设施短板等领域，争取政策最大红利支持，因地制宜、因事施策，积极培育新税源和寻找替代税源。</w:t>
      </w:r>
    </w:p>
    <w:p>
      <w:pPr>
        <w:widowControl/>
        <w:shd w:val="clear" w:color="auto" w:fill="FFFFFF"/>
        <w:spacing w:before="164" w:line="327" w:lineRule="atLeast"/>
        <w:ind w:firstLine="480"/>
        <w:jc w:val="left"/>
        <w:rPr>
          <w:rFonts w:hint="eastAsia" w:ascii="仿宋" w:hAnsi="仿宋" w:eastAsia="仿宋" w:cs="仿宋_GB2312"/>
          <w:kern w:val="20"/>
          <w:sz w:val="32"/>
          <w:szCs w:val="32"/>
        </w:rPr>
      </w:pPr>
      <w:r>
        <w:rPr>
          <w:rFonts w:hint="eastAsia" w:ascii="仿宋" w:hAnsi="仿宋" w:eastAsia="仿宋" w:cs="仿宋_GB2312"/>
          <w:b/>
          <w:kern w:val="20"/>
          <w:sz w:val="32"/>
          <w:szCs w:val="32"/>
        </w:rPr>
        <w:t>（四）支出有保有压。</w:t>
      </w:r>
      <w:r>
        <w:rPr>
          <w:rFonts w:hint="eastAsia" w:ascii="仿宋" w:hAnsi="仿宋" w:eastAsia="仿宋" w:cs="仿宋_GB2312"/>
          <w:kern w:val="20"/>
          <w:sz w:val="32"/>
          <w:szCs w:val="32"/>
        </w:rPr>
        <w:t>要牢固树立“过紧日子”的思想，坚决落实2020年政府工作报告“各级政府非急需非刚性支出压减50%以上。”要求，大力优化财政支出结构，基本民生支出只增不减，重点领域支出要切实保障，一般性支出要坚决压减，精打细算，提质增效，节裕用民，把有限的资金用在惠民利民的实事上。</w:t>
      </w:r>
    </w:p>
    <w:p>
      <w:pPr>
        <w:spacing w:line="600" w:lineRule="exact"/>
        <w:rPr>
          <w:rFonts w:hint="default" w:ascii="仿宋" w:hAnsi="仿宋" w:eastAsia="仿宋" w:cs="仿宋_GB2312"/>
          <w:kern w:val="20"/>
          <w:sz w:val="32"/>
          <w:szCs w:val="32"/>
        </w:rPr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5D8"/>
    <w:rsid w:val="00163A86"/>
    <w:rsid w:val="002516B8"/>
    <w:rsid w:val="00296860"/>
    <w:rsid w:val="002F7F00"/>
    <w:rsid w:val="004D75D8"/>
    <w:rsid w:val="00800161"/>
    <w:rsid w:val="00A5490E"/>
    <w:rsid w:val="00AC0E3C"/>
    <w:rsid w:val="00BA58DE"/>
    <w:rsid w:val="00C634A1"/>
    <w:rsid w:val="00DB4D95"/>
    <w:rsid w:val="00E13E09"/>
    <w:rsid w:val="00E44740"/>
    <w:rsid w:val="00EE66D1"/>
    <w:rsid w:val="0676218B"/>
    <w:rsid w:val="155D361A"/>
    <w:rsid w:val="1D3E098E"/>
    <w:rsid w:val="3DC53B51"/>
    <w:rsid w:val="3E544013"/>
    <w:rsid w:val="52225F22"/>
    <w:rsid w:val="56B43432"/>
    <w:rsid w:val="5DA65DF9"/>
    <w:rsid w:val="75623BB1"/>
    <w:rsid w:val="7CD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character" w:customStyle="1" w:styleId="8">
    <w:name w:val="页脚 Char1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624</Words>
  <Characters>3560</Characters>
  <Lines>29</Lines>
  <Paragraphs>8</Paragraphs>
  <TotalTime>25</TotalTime>
  <ScaleCrop>false</ScaleCrop>
  <LinksUpToDate>false</LinksUpToDate>
  <CharactersWithSpaces>4176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2020-07-10T04:54:00Z</dcterms:created>
  <dc:creator>0</dc:creator>
  <cp:lastModifiedBy>Administrator</cp:lastModifiedBy>
  <dcterms:modified xsi:type="dcterms:W3CDTF">2020-08-28T03:57:12Z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