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黑体" w:hAnsi="宋体" w:eastAsia="黑体"/>
          <w:b/>
          <w:kern w:val="20"/>
          <w:sz w:val="48"/>
          <w:szCs w:val="48"/>
        </w:rPr>
      </w:pPr>
      <w:r>
        <w:rPr>
          <w:rFonts w:hint="eastAsia" w:ascii="黑体" w:hAnsi="宋体" w:eastAsia="黑体"/>
          <w:b/>
          <w:kern w:val="20"/>
          <w:sz w:val="48"/>
          <w:szCs w:val="48"/>
          <w:lang w:val="en-US" w:eastAsia="zh-CN"/>
        </w:rPr>
        <w:t>{{year}}</w:t>
      </w:r>
      <w:r>
        <w:rPr>
          <w:rFonts w:hint="eastAsia" w:ascii="黑体" w:hAnsi="宋体" w:eastAsia="黑体"/>
          <w:b/>
          <w:kern w:val="20"/>
          <w:sz w:val="48"/>
          <w:szCs w:val="48"/>
        </w:rPr>
        <w:t>年1-</w:t>
      </w:r>
      <w:r>
        <w:rPr>
          <w:rFonts w:hint="eastAsia" w:ascii="黑体" w:hAnsi="宋体" w:eastAsia="黑体"/>
          <w:b/>
          <w:kern w:val="20"/>
          <w:sz w:val="48"/>
          <w:szCs w:val="48"/>
          <w:lang w:val="en-US" w:eastAsia="zh-CN"/>
        </w:rPr>
        <w:t>{{month}}</w:t>
      </w:r>
      <w:r>
        <w:rPr>
          <w:rFonts w:hint="eastAsia" w:ascii="黑体" w:hAnsi="宋体" w:eastAsia="黑体"/>
          <w:b/>
          <w:kern w:val="20"/>
          <w:sz w:val="48"/>
          <w:szCs w:val="48"/>
        </w:rPr>
        <w:t>月份财政运行情况</w:t>
      </w:r>
    </w:p>
    <w:p>
      <w:pPr>
        <w:spacing w:line="580" w:lineRule="exact"/>
        <w:jc w:val="center"/>
        <w:rPr>
          <w:rFonts w:hint="eastAsia" w:ascii="黑体" w:hAnsi="宋体" w:eastAsia="黑体"/>
          <w:b/>
          <w:kern w:val="20"/>
          <w:sz w:val="48"/>
          <w:szCs w:val="48"/>
        </w:rPr>
      </w:pPr>
    </w:p>
    <w:p>
      <w:pPr>
        <w:spacing w:line="600" w:lineRule="exact"/>
        <w:ind w:firstLine="604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一、财政收支完成情况</w:t>
      </w:r>
    </w:p>
    <w:p>
      <w:pPr>
        <w:spacing w:line="600" w:lineRule="exact"/>
        <w:ind w:firstLine="643" w:firstLineChars="200"/>
        <w:rPr>
          <w:rFonts w:hint="eastAsia" w:ascii="仿宋" w:hAnsi="仿宋" w:eastAsia="仿宋" w:cs="楷体"/>
          <w:b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（一）财政收入执行情况</w:t>
      </w:r>
    </w:p>
    <w:p>
      <w:pPr>
        <w:spacing w:line="600" w:lineRule="exact"/>
        <w:ind w:firstLine="604" w:firstLineChars="189"/>
        <w:rPr>
          <w:rFonts w:hint="default" w:ascii="仿宋" w:hAnsi="仿宋" w:eastAsia="仿宋"/>
          <w:kern w:val="2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1-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{{month}}</w:t>
      </w:r>
      <w:r>
        <w:rPr>
          <w:rFonts w:hint="eastAsia" w:ascii="仿宋" w:hAnsi="仿宋" w:eastAsia="仿宋" w:cs="宋体"/>
          <w:kern w:val="0"/>
          <w:sz w:val="32"/>
          <w:szCs w:val="32"/>
        </w:rPr>
        <w:t>月，</w:t>
      </w:r>
      <w:r>
        <w:rPr>
          <w:rFonts w:hint="eastAsia" w:ascii="仿宋" w:hAnsi="仿宋" w:eastAsia="仿宋"/>
          <w:kern w:val="20"/>
          <w:sz w:val="32"/>
          <w:szCs w:val="32"/>
        </w:rPr>
        <w:t>全市财政总收入完成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{{cz_total}}</w:t>
      </w:r>
      <w:r>
        <w:rPr>
          <w:rFonts w:hint="eastAsia" w:ascii="仿宋" w:hAnsi="仿宋" w:eastAsia="仿宋"/>
          <w:kern w:val="20"/>
          <w:sz w:val="32"/>
          <w:szCs w:val="32"/>
        </w:rPr>
        <w:t>亿元，较上年同期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{{cz_total_tb_bfb}}</w:t>
      </w:r>
      <w:r>
        <w:rPr>
          <w:rFonts w:hint="eastAsia" w:ascii="仿宋" w:hAnsi="仿宋" w:eastAsia="仿宋"/>
          <w:kern w:val="20"/>
          <w:sz w:val="32"/>
          <w:szCs w:val="32"/>
        </w:rPr>
        <w:t>%（下同）；公共财政预算收入完成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{{cz_ybgg}}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{{cz_ybgg_tb_bfb}}</w:t>
      </w:r>
      <w:r>
        <w:rPr>
          <w:rFonts w:hint="eastAsia" w:ascii="仿宋" w:hAnsi="仿宋" w:eastAsia="仿宋"/>
          <w:kern w:val="20"/>
          <w:sz w:val="32"/>
          <w:szCs w:val="32"/>
        </w:rPr>
        <w:t>%；上划中央收入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{{cz_zy}}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{{cz_zy_tb_bfb}}</w:t>
      </w:r>
      <w:r>
        <w:rPr>
          <w:rFonts w:hint="eastAsia" w:ascii="仿宋" w:hAnsi="仿宋" w:eastAsia="仿宋"/>
          <w:kern w:val="20"/>
          <w:sz w:val="32"/>
          <w:szCs w:val="32"/>
        </w:rPr>
        <w:t>%；上划省级收入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{{cz_shengji}}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{{cz_shengji_tb_bfb}}</w:t>
      </w:r>
      <w:r>
        <w:rPr>
          <w:rFonts w:hint="eastAsia" w:ascii="仿宋" w:hAnsi="仿宋" w:eastAsia="仿宋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/>
          <w:kern w:val="20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分部门完成情况：</w:t>
      </w:r>
      <w:r>
        <w:rPr>
          <w:rFonts w:hint="eastAsia" w:ascii="仿宋" w:hAnsi="仿宋" w:eastAsia="仿宋"/>
          <w:kern w:val="20"/>
          <w:sz w:val="32"/>
          <w:szCs w:val="32"/>
        </w:rPr>
        <w:t>税务部门完成收入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{{cz_tax}}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{{cz_tax_tb_bfb}}</w:t>
      </w:r>
      <w:r>
        <w:rPr>
          <w:rFonts w:hint="eastAsia" w:ascii="仿宋" w:hAnsi="仿宋" w:eastAsia="仿宋"/>
          <w:kern w:val="20"/>
          <w:sz w:val="32"/>
          <w:szCs w:val="32"/>
        </w:rPr>
        <w:t>%；财政部门完成收入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{{cz_finance}}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{{cz_finance_tb_bfb}}</w:t>
      </w:r>
      <w:r>
        <w:rPr>
          <w:rFonts w:hint="eastAsia" w:ascii="仿宋" w:hAnsi="仿宋" w:eastAsia="仿宋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仿宋_GB2312"/>
          <w:b/>
          <w:kern w:val="20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市级、县（区）完成情况</w:t>
      </w: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：</w:t>
      </w:r>
    </w:p>
    <w:p>
      <w:pPr>
        <w:spacing w:line="600" w:lineRule="exact"/>
        <w:ind w:firstLine="604" w:firstLineChars="189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市本级财政总收入完成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cz_sbj}}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cz_sbj_tb_bfb}}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</w:t>
      </w:r>
    </w:p>
    <w:p>
      <w:pPr>
        <w:spacing w:line="600" w:lineRule="exact"/>
        <w:ind w:firstLine="604" w:firstLineChars="189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高新区财政总收入完成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cz_gxq}}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cz_gxq_tb_bfb}}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</w:t>
      </w:r>
    </w:p>
    <w:p>
      <w:pPr>
        <w:spacing w:line="600" w:lineRule="exact"/>
        <w:ind w:firstLine="604" w:firstLineChars="189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县（区）财政总收入完成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cz_qxhj}}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cz_qxhj_tb_bfb}}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主要税种完成情况：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增值税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cz_zzs}}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cz_zzs_tb_bfb}}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%；消费税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cz_xfs}}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cz_xfs_tb_bfb}}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%；企业所得税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cz_qysds}}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cz_qysds_tb_bfb}}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%；个人所得税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cz_grsds}}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cz_grsds_tb_bfb}}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%；城市维护建设税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cz_cswhjss}}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cz_cswhjss_tb_bfb}}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%；土地增值税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cz_tdzzs}}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cz_tdzzs_tb_bfb}}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%；契税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{{cz_qs}}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{{cz_qs_tb_bfb}}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楷体"/>
          <w:b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（二）财政支出执行情况</w:t>
      </w:r>
    </w:p>
    <w:p>
      <w:pPr>
        <w:spacing w:line="600" w:lineRule="exact"/>
        <w:ind w:firstLine="604" w:firstLineChars="189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1-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{{month}}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月，全市公共财政预算支出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亿元，同比减支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{{zc_hj_cz}}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%。主要支出项目完成情况是：一般公共服务支出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{{zc_ybggfw}}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{{zc_ybggfw_tb_bfb}}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%；公共安全支出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{{zc_ggaq}}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{{zc_ggaq_tb_bfb}}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%；教育支出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{{zc_jy}}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{{zc_jy_tb_bfb}}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%；科技支出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{{zc_kxjs}}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{{zc_kxjs_tb_bfb}}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%；文化体育与传媒支出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{{zc_whtyycm}}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{{zc_whtyycm_tb_bfb}}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%；社会保障和就业支出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{{zc_shbzhjy}}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{{zc_shbzhjy_tb_bfb 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%；医疗卫生支出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{{zc_ylws}}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zc_ylws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%；节能环保支出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{{zc_jnhb}}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{{zc_jnhb_tb_bfb}}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%；城乡社区事务支出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{{zc_cxsqsw}}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{{zc_cxsqsw_tb_bfb}}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%；农林水事务支出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{{zc_nlsss}}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{{zc_nlsss_tb_bfb}}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%；交通运输支出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{{zc_jtys}}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{{zc_jtys_tb_bfb}}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%；资源勘探电力信息等事务支出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{{zc_zyktgy}}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{{zc_zyktgy_tb_bfb}}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%；金融支出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{{zc_jr}}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亿元，较上年大幅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{{zc_jr_tb_bfb}}%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；住房保障支出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{{zc_zfbz}}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{{zc_zfbz_tb_bfb}}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%；灾害防治及应急管理支出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{{zc_znfz}}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{{zc_znfz_tb_bfb}}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楷体"/>
          <w:b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（三）政府性基金预算执行情况</w:t>
      </w:r>
    </w:p>
    <w:p>
      <w:pPr>
        <w:spacing w:line="600" w:lineRule="exact"/>
        <w:ind w:firstLine="607" w:firstLineChars="189"/>
        <w:rPr>
          <w:rFonts w:hint="default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政府性基金收入：</w:t>
      </w:r>
    </w:p>
    <w:p>
      <w:pPr>
        <w:spacing w:line="600" w:lineRule="exact"/>
        <w:ind w:firstLine="640" w:firstLineChars="200"/>
        <w:rPr>
          <w:rFonts w:hint="eastAsia" w:ascii="仿宋" w:hAnsi="仿宋" w:eastAsia="仿宋" w:cs="仿宋_GB2312"/>
          <w:color w:val="FF0000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1-</w:t>
      </w:r>
      <w:r>
        <w:rPr>
          <w:rFonts w:hint="eastAsia" w:ascii="仿宋" w:hAnsi="仿宋" w:eastAsia="仿宋" w:cs="仿宋_GB2312"/>
          <w:kern w:val="20"/>
          <w:sz w:val="32"/>
          <w:szCs w:val="32"/>
          <w:lang w:eastAsia="zh-CN"/>
        </w:rPr>
        <w:t>{{month}}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月，全市政府性基金收入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{{cz_zfxjj}}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</w:t>
      </w:r>
      <w:bookmarkStart w:id="0" w:name="_GoBack"/>
      <w:bookmarkEnd w:id="0"/>
      <w:r>
        <w:rPr>
          <w:rFonts w:hint="eastAsia" w:ascii="仿宋" w:hAnsi="仿宋" w:eastAsia="仿宋" w:cs="仿宋_GB2312"/>
          <w:kern w:val="20"/>
          <w:sz w:val="32"/>
          <w:szCs w:val="32"/>
        </w:rPr>
        <w:t>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{{cz_zfxjj_tb_bfb}}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%，其中：国土基金收入完成收入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{{cz_gtjj}}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{{cz_gtjj_tb_bfb}}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  <w:r>
        <w:rPr>
          <w:rFonts w:hint="eastAsia" w:ascii="仿宋" w:hAnsi="仿宋" w:eastAsia="仿宋" w:cs="仿宋_GB2312"/>
          <w:color w:val="000000" w:themeColor="text1"/>
          <w:kern w:val="20"/>
          <w:sz w:val="32"/>
          <w:szCs w:val="32"/>
          <w14:textFill>
            <w14:solidFill>
              <w14:schemeClr w14:val="tx1"/>
            </w14:solidFill>
          </w14:textFill>
        </w:rPr>
        <w:t>全市12个县（区）除临川、乐安、广昌三县区下降外，其他县区都在增长。</w:t>
      </w:r>
    </w:p>
    <w:p>
      <w:pPr>
        <w:spacing w:line="600" w:lineRule="exact"/>
        <w:ind w:firstLine="607" w:firstLineChars="189"/>
        <w:rPr>
          <w:rFonts w:hint="default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政府性基金支出：</w:t>
      </w:r>
    </w:p>
    <w:p>
      <w:pPr>
        <w:spacing w:line="600" w:lineRule="exact"/>
        <w:ind w:firstLine="604" w:firstLineChars="189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1-</w:t>
      </w:r>
      <w:r>
        <w:rPr>
          <w:rFonts w:hint="eastAsia" w:ascii="仿宋" w:hAnsi="仿宋" w:eastAsia="仿宋" w:cs="仿宋_GB2312"/>
          <w:kern w:val="20"/>
          <w:sz w:val="32"/>
          <w:szCs w:val="32"/>
          <w:lang w:eastAsia="zh-CN"/>
        </w:rPr>
        <w:t>{{month}}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月，全市基金支出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{{zc_hjjj}}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亿元，增长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{{zc_hjjj_tb_bfb}}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%，其中：国土基金支出51.8亿元，增长14.2%。</w:t>
      </w:r>
    </w:p>
    <w:p>
      <w:pPr>
        <w:spacing w:line="600" w:lineRule="exact"/>
        <w:ind w:firstLine="604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二、财政收支运行主要特点及分析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（一）收入形势逐步回升。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1-5月全市财政总收入下降7.2%，降幅较一季度收窄2.1个百分点，全省排位第八；一般公共预算收入下降1.1%，降幅较一季度提高1.6个百分点，全省排位第五。其中，宜黄县和资溪县财政总收入实现正增长，增幅分别为2.7%和0.2%。</w:t>
      </w:r>
    </w:p>
    <w:p>
      <w:pPr>
        <w:spacing w:line="600" w:lineRule="exact"/>
        <w:ind w:firstLine="640" w:firstLineChars="200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5月当月财政总收入增长3.3%，是今年自2-4月连续三个月当月负增长后出现的正增长。从1-5月收入数据显示，3月是收入降幅最大的月份，4月降幅明显收窄，5月向好的方向 发展，较4月回升12.8个百分点，较3月回升39.5个百分点。一般公共预算收入在5月当月首次实现两位数增长，较去年增长10.6%。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（二）税收收入降幅收窄。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1-5月累计税收收入下降12.4%，降幅较1-4月收窄2.7个百分点，其中宜黄县保持增长势头，连续2个月成为全市各县（区）税收正增长的唯一县（区）。全市5月当月实现16.1亿元，是3月完成数的2倍多，较去年同期增长0.1%。税收收入有所好转主要得益于小税种的高增长，如耕地占用税、契税、个人所得税增长均超38%。</w:t>
      </w:r>
    </w:p>
    <w:p>
      <w:pPr>
        <w:spacing w:line="600" w:lineRule="exact"/>
        <w:ind w:firstLine="627" w:firstLineChars="196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从行业看，1-5月工业税收下降30.3%，较1-4月收窄3.4个百分点，其中乐安县逆势增长95.9%、增收0.3亿元；建筑安装业税收增长9.5%，较1-4月上升4.5个百分点，其中宜黄县、东乡（区）和金溪县分别增长46.7%、41.3%、37.3%；交通运输业税收下降11.8%，较1-4月收窄12个百分点，其中黎川县、资溪县、崇仁县和临川（区）实现正增长，共计增收0.5亿元，为降幅收窄贡献7.4个百分点。</w:t>
      </w:r>
      <w:r>
        <w:rPr>
          <w:rFonts w:hint="default" w:ascii="仿宋" w:hAnsi="仿宋" w:eastAsia="仿宋" w:cs="仿宋_GB2312"/>
          <w:kern w:val="20"/>
          <w:sz w:val="32"/>
          <w:szCs w:val="32"/>
        </w:rPr>
        <w:t xml:space="preserve"> 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（三）非税收入超出进度。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我市财政收入主要指标中，1-5月仅有非税收入一直保持正增长，1-5月累计完成32.1亿元，增长9.3%，已完成全年预期目标的98.9%，超序时进度57.2个百分点，有半数县（区）超额完成全年预期，为全市财政收入降幅收窄贡献2.2个百分点。</w:t>
      </w:r>
    </w:p>
    <w:p>
      <w:pPr>
        <w:spacing w:line="600" w:lineRule="exact"/>
        <w:ind w:firstLine="627" w:firstLineChars="196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东乡区积极盘活矿产资源，出让探矿权，1-5月完成非税收入5.4亿元，占县（区）完成数的23.5%，成为拉动我市非税收入增长的主动力，为全市非税收入做出了重大贡献。</w:t>
      </w:r>
    </w:p>
    <w:p>
      <w:pPr>
        <w:spacing w:line="600" w:lineRule="exact"/>
        <w:ind w:firstLine="630" w:firstLineChars="196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（四）民生支出得到保障。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1-5月一般公共预算支出180.9亿元，环比增长28.2%。在受疫情影响财政收入下降的情况下，全市各级财政通过本级财力安排、争取上级支持、盘活存量资金等多个渠道及时筹措民生保障资金，不断加大民生投入，全力解决好各类民生问题。我市民生支出占比长期保持在75%以上，其中1-5月用于教育、科技、农林水、社保、医疗、节能环</w:t>
      </w:r>
      <w:r>
        <w:rPr>
          <w:rFonts w:hint="eastAsia" w:ascii="仿宋" w:hAnsi="仿宋" w:eastAsia="仿宋"/>
          <w:sz w:val="32"/>
          <w:szCs w:val="32"/>
        </w:rPr>
        <w:t>保、住房保障、城乡社区事务支出等十三项民生支出总量达140.37亿元，占公共预算支出比重为77.6%。全市用于疫情防控支出1.58亿元，其中市本级安排0.32亿元。</w:t>
      </w:r>
    </w:p>
    <w:p>
      <w:pPr>
        <w:spacing w:line="600" w:lineRule="exact"/>
        <w:ind w:firstLine="604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三、存在的问题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（一）收入质量亟待改善。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 xml:space="preserve">在财政收入规模和增速一定的情况下，衡量财政收入质量关键看财政收入税比和一般公共预算收入税比。我市财政收入税比和一般公共预算收入税比已连续5个月排全省第11位。1-5月财政收入税比71.7%、低全省税比7.6个百分点、较去年同期下降4.3个百分点。1-5月一般公共预算收入税比57.9%、低全省税比8.1个百分点、较去年同期下降4个百分点。高质量的财政收入是经济发展和社会稳定的重要保障。面对我市收入质量的严峻现状，全市上下要群策群力，尽快提高税收占比以改善收入质量。 </w:t>
      </w:r>
    </w:p>
    <w:p>
      <w:pPr>
        <w:ind w:firstLine="480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 xml:space="preserve">（二）税收总量同比有差距。2019年1-5月税收收入 92.9亿元，2020年1-5月税收收入81.3亿元，下降12.4%，减收11.5亿元，其中：高新区下降18.5%、减收2亿元，东乡区17.1%、减收2亿元，广昌县16.1%、减收0.7亿元。 </w:t>
      </w:r>
    </w:p>
    <w:p>
      <w:pPr>
        <w:spacing w:line="600" w:lineRule="exact"/>
        <w:ind w:firstLine="482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（三）支出总量同比有下降。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2019年1-5月支出192.8亿元，2020年1-5月支出180.9亿元，下降6.2%，随收入形势的逐步回升支出下降幅度逐月收窄。全市12个县（区）有临川、东乡、南城、乐安4个县（区）支出下降，其中临川区呈两位数下降。从1-5月公共预算支出分县（区）执行情况表来看，固定统计的九类支出，城乡社区事务支出增长19.1%，农林水事务支出增长8.7%，其他七类支出都下降，其中科学技术支出下降35.9%、下降幅度最大。</w:t>
      </w:r>
    </w:p>
    <w:p>
      <w:pPr>
        <w:spacing w:line="600" w:lineRule="exact"/>
        <w:ind w:firstLine="396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 xml:space="preserve"> 四、下一步工作重点</w:t>
      </w:r>
    </w:p>
    <w:p>
      <w:pPr>
        <w:tabs>
          <w:tab w:val="center" w:pos="4153"/>
        </w:tabs>
        <w:spacing w:line="600" w:lineRule="exact"/>
        <w:ind w:firstLine="482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（一）注重收入质量。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全市各级财税部门要强化征缴管理，加大税收清缴力度，坚持抓大与促小并重，既要重视增值税、企业所得税、消费税等主体税种的征缴，也要加强个人所得税、房产税、土地使用税等地方税种的清理，从而逐步提高税收占财政收入、一般公共预算收入的比重，切实增加可用财力支持地方经济发展。</w:t>
      </w:r>
    </w:p>
    <w:p>
      <w:pPr>
        <w:tabs>
          <w:tab w:val="center" w:pos="4153"/>
        </w:tabs>
        <w:spacing w:line="600" w:lineRule="exact"/>
        <w:ind w:firstLine="482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（二）全力组织收入。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全市各级财税部门要牢牢把握组织收入这条主线不放松，以实现去年“双过半”收入完成数为奋斗目标，深刻分析各种税种收入与相关收入指标的关系，进一步精细税源管理，深化征管改革，大力挖潜增收，奋战六月，多措并举，全力组织收入，力争我市财政持续稳定增收。</w:t>
      </w:r>
    </w:p>
    <w:p>
      <w:pPr>
        <w:tabs>
          <w:tab w:val="center" w:pos="4153"/>
        </w:tabs>
        <w:spacing w:line="600" w:lineRule="exact"/>
        <w:ind w:firstLine="482" w:firstLineChars="150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（三）积累财源后劲。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各县（区）要要想方设法壮大培育财源，发挥优势，突出重点，通过政策扶持、资金投入，进一步巩固基础财源，壮大主体财源，密切关注本县（区）重点行业，聚焦民生建设、基础设施短板等领域，争取政策最大红利支持，因地制宜、因事施策，积极培育新税源和寻找替代税源。</w:t>
      </w:r>
    </w:p>
    <w:p>
      <w:pPr>
        <w:widowControl/>
        <w:shd w:val="clear" w:color="auto" w:fill="FFFFFF"/>
        <w:spacing w:before="164" w:line="327" w:lineRule="atLeast"/>
        <w:ind w:firstLine="480"/>
        <w:jc w:val="left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（四）支出有保有压。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要牢固树立“过紧日子”的思想，坚决落实2020年政府工作报告“各级政府非急需非刚性支出压减50%以上。”要求，大力优化财政支出结构，基本民生支出只增不减，重点领域支出要切实保障，一般性支出要坚决压减，精打细算，提质增效，节裕用民，把有限的资金用在惠民利民的实事上。</w:t>
      </w:r>
    </w:p>
    <w:p>
      <w:pPr>
        <w:spacing w:line="600" w:lineRule="exact"/>
        <w:rPr>
          <w:rFonts w:hint="default" w:ascii="仿宋" w:hAnsi="仿宋" w:eastAsia="仿宋" w:cs="仿宋_GB2312"/>
          <w:kern w:val="20"/>
          <w:sz w:val="32"/>
          <w:szCs w:val="32"/>
        </w:rPr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5D8"/>
    <w:rsid w:val="00163A86"/>
    <w:rsid w:val="002516B8"/>
    <w:rsid w:val="00296860"/>
    <w:rsid w:val="002F7F00"/>
    <w:rsid w:val="004D75D8"/>
    <w:rsid w:val="00800161"/>
    <w:rsid w:val="00A5490E"/>
    <w:rsid w:val="00AC0E3C"/>
    <w:rsid w:val="00BA58DE"/>
    <w:rsid w:val="00C634A1"/>
    <w:rsid w:val="00DB4D95"/>
    <w:rsid w:val="00E13E09"/>
    <w:rsid w:val="00E44740"/>
    <w:rsid w:val="00EE66D1"/>
    <w:rsid w:val="05952E6C"/>
    <w:rsid w:val="0676218B"/>
    <w:rsid w:val="155D361A"/>
    <w:rsid w:val="1D3E098E"/>
    <w:rsid w:val="21614313"/>
    <w:rsid w:val="3DC53B51"/>
    <w:rsid w:val="3E544013"/>
    <w:rsid w:val="52225F22"/>
    <w:rsid w:val="56B43432"/>
    <w:rsid w:val="5DA65DF9"/>
    <w:rsid w:val="75623BB1"/>
    <w:rsid w:val="7CD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Char"/>
    <w:link w:val="2"/>
    <w:qFormat/>
    <w:uiPriority w:val="99"/>
    <w:rPr>
      <w:sz w:val="18"/>
      <w:szCs w:val="18"/>
    </w:rPr>
  </w:style>
  <w:style w:type="character" w:customStyle="1" w:styleId="8">
    <w:name w:val="页脚 Char1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624</Words>
  <Characters>3560</Characters>
  <Lines>29</Lines>
  <Paragraphs>8</Paragraphs>
  <TotalTime>25</TotalTime>
  <ScaleCrop>false</ScaleCrop>
  <LinksUpToDate>false</LinksUpToDate>
  <CharactersWithSpaces>4176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2020-07-10T04:54:00Z</dcterms:created>
  <dc:creator>0</dc:creator>
  <cp:lastModifiedBy>Administrator</cp:lastModifiedBy>
  <dcterms:modified xsi:type="dcterms:W3CDTF">2020-09-04T01:46:46Z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