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September 14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6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Hong Kong,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2027 (industrial), 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 (demo),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ICLR: 2026, 2025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Yoon, T., Lee, T., Lee, J., Kim, K., Tak, B., and Han, W., “Cache Replacement in Direct-Access Cloud OLAP—An Experimental Comparison and Practical Guidance,”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“CADENZA: Compiling Natural-Language Intent into Task-Specific Operator DAGs for Semantic Query Processing,”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Cha, S., Park, S., and Han, W., “TRACE: Table–Text Relationalization and Completion of Evidence for Coverage-Sensitive QA,” In Proc., the 2026 Conference on Empirical Methods in Natural Language Processing, EMNLP, Budapest, Hungary, October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 in Action: Breaking the Monolith with Intent-Dependent Plan Spaces for Semantic Queries,” In 52nd Int’l Conf. on Very Large Data Bases (VLDB) / Proc. the VLDB Endowment (PVLDB), Boston, MA, US, August 2026. (demo)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 in Action: A Schemaless Graph Engine for General-Purpose Analytics,” In 52nd Int’l Conf. on Very Large Data Bases (VLDB) / Proc. the VLDB Endowment (PVLDB), Boston, MA, US, August 2026. (demo) (co-corresponding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19th International Conference on Database Systems for Advanced Applications (DASFAA),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