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Table 1: Accuracy Comparison of Federated Learning Methods</w:t>
      </w:r>
    </w:p>
    <w:p>
      <w:pPr>
        <w:jc w:val="center"/>
      </w:pPr>
      <w:r>
        <w:rPr>
          <w:rFonts w:ascii="Times New Roman" w:hAnsi="Times New Roman"/>
          <w:i/>
          <w:color w:val="444444"/>
          <w:sz w:val="20"/>
        </w:rPr>
        <w:t>Non-IID setting (Dirichlet α = 0.1)  ·  Post-Adaptation Accuracy (%)  ·  Last-10 Round Mean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Method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CIFAR-10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CIFAR-100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EuroSAT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Fashion-MNIST</w:t>
            </w:r>
          </w:p>
        </w:tc>
      </w:tr>
      <w:tr>
        <w:tc>
          <w:tcPr>
            <w:tcW w:type="dxa" w:w="283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FFFFFF"/>
                <w:sz w:val="18"/>
              </w:rPr>
              <w:t>α = 0.1</w:t>
            </w:r>
          </w:p>
        </w:tc>
        <w:tc>
          <w:tcPr>
            <w:tcW w:type="dxa" w:w="181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FFFFFF"/>
                <w:sz w:val="18"/>
              </w:rPr>
              <w:t>Acc% (last-10 mean)</w:t>
            </w:r>
          </w:p>
        </w:tc>
        <w:tc>
          <w:tcPr>
            <w:tcW w:type="dxa" w:w="181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FFFFFF"/>
                <w:sz w:val="18"/>
              </w:rPr>
              <w:t>Acc% (last-10 mean)</w:t>
            </w:r>
          </w:p>
        </w:tc>
        <w:tc>
          <w:tcPr>
            <w:tcW w:type="dxa" w:w="181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FFFFFF"/>
                <w:sz w:val="18"/>
              </w:rPr>
              <w:t>Acc% (last-10 mean)</w:t>
            </w:r>
          </w:p>
        </w:tc>
        <w:tc>
          <w:tcPr>
            <w:tcW w:type="dxa" w:w="181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FFFFFF"/>
                <w:sz w:val="18"/>
              </w:rPr>
              <w:t>Acc% (last-10 mean)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FedAvg  (McMahan et al., 2017)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7F3F00"/>
                <w:sz w:val="20"/>
              </w:rPr>
              <w:t>60.61%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FedProx  (Li et al., 2020)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51.75%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SCAFFOLD  (Karimireddy et al., 2020)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50.18%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FedKD  (Wu et al., 2022)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31.56%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FedMeta (FO-MAML)  (Finn et al., 2017)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27.03%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1F4E79"/>
                <w:sz w:val="20"/>
              </w:rPr>
              <w:t>Ours (Full)</w:t>
            </w:r>
          </w:p>
        </w:tc>
        <w:tc>
          <w:tcPr>
            <w:tcW w:type="dxa" w:w="1814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1F4E79"/>
                <w:sz w:val="20"/>
              </w:rPr>
              <w:t>41.28%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999999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/>
          <w:b/>
          <w:color w:val="444444"/>
          <w:sz w:val="18"/>
        </w:rPr>
        <w:t xml:space="preserve">Notes: </w:t>
      </w:r>
      <w:r>
        <w:rPr>
          <w:rFonts w:ascii="Times New Roman" w:hAnsi="Times New Roman"/>
          <w:color w:val="444444"/>
          <w:sz w:val="18"/>
        </w:rPr>
        <w:t>Yellow cells indicate best performance per dataset column. Green rows indicate our proposed method. Cells marked '—' are pending experimental results. All methods use a unified Meta-Evaluation protocol (5-step adaptation on local Non-IID test data, Dirichlet partitioning).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