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relationships" xmlns:w="http://schemas.openxmlformats.org/wordprocessingml/2006/main">
  <w:body>
    <w:bookmarkStart w:colFirst="0" w:colLast="0" w:name="bookmark=id.i7nbymvid9j" w:id="0"/>
    <w:bookmarkEnd w:id="0"/>
    <w:p w:rsidR="00000000" w:rsidDel="00000000" w:rsidP="00000000" w:rsidRDefault="00000000" w:rsidRPr="00000000" ns1:paraId="00000001">
      <w:pPr>
        <w:pStyle w:val="Heading1"/>
        <w:rPr>
          <w:color w:val="000000"/>
        </w:rPr>
      </w:pPr>
      <w:r>
        <w:rPr>
          <w:rFonts w:ascii="Arial" w:hAnsi="Arial"/>
          <w:sz w:val="40"/>
          <w:b/>
        </w:rPr>
        <w:t>Matriz de diagnóstico Santa Fe y Rosario</w:t>
      </w:r>
    </w:p>
    <w:p w:rsidR="00000000" w:rsidDel="00000000" w:rsidP="00000000" w:rsidRDefault="00000000" w:rsidRPr="00000000"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Equipo Lewan · versión completada · 23 de octubre de 2026</w:t>
      </w:r>
    </w:p>
    <w:bookmarkStart w:colFirst="0" w:colLast="0" w:name="bookmark=id.uc0gvmgxcboa" w:id="1"/>
    <w:bookmarkEnd w:id="1"/>
    <w:p w:rsidR="00000000" w:rsidDel="00000000" w:rsidP="00000000" w:rsidRDefault="00000000" w:rsidRPr="00000000" ns1:paraId="00000003">
      <w:pPr>
        <w:pStyle w:val="Heading2"/>
        <w:rPr>
          <w:color w:val="000000"/>
        </w:rPr>
      </w:pPr>
      <w:r>
        <w:rPr>
          <w:rFonts w:ascii="Arial" w:hAnsi="Arial"/>
          <w:sz w:val="26"/>
          <w:b/>
        </w:rPr>
        <w:t>Propósito y uso</w:t>
      </w:r>
    </w:p>
    <w:p w:rsidR="00000000" w:rsidDel="00000000" w:rsidP="00000000" w:rsidRDefault="00000000" w:rsidRPr="00000000" ns1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/>
          <w:sz w:val="20"/>
        </w:rPr>
        <w:t>Esta matriz establece un método común para producir diagnósticos comparables sobre la provincia de Santa Fe y la ciudad de Rosario. Cada equipo debe documentar los ocho bloques, distinguir con precisión los universos territoriales y registrar fecha de corte, enlace, definición y limitaciones de cada dato.</w:t>
      </w:r>
    </w:p>
    <w:p w:rsidR="00000000" w:rsidDel="00000000" w:rsidP="00000000" w:rsidRDefault="00000000" w:rsidRPr="00000000" ns1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/>
          <w:sz w:val="18"/>
          <w:b/>
        </w:rPr>
        <w:t>Regla territorial: ciudad de Rosario, departamento Rosario, aglomerado Gran Rosario, Gran Santa Fe y total provincial no son universos equivalentes. Toda cifra debe identificar su universo.</w:t>
      </w:r>
    </w:p>
    <w:bookmarkStart w:colFirst="0" w:colLast="0" w:name="bookmark=id.vyob94z92idp" w:id="2"/>
    <w:bookmarkEnd w:id="2"/>
    <w:p w:rsidR="00000000" w:rsidDel="00000000" w:rsidP="00000000" w:rsidRDefault="00000000" w:rsidRPr="00000000" ns1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Método común: ocho bloques por eje</w:t>
      </w:r>
    </w:p>
    <w:p w:rsidR="00000000" w:rsidDel="00000000" w:rsidP="00000000" w:rsidRDefault="00000000" w:rsidRPr="00000000" ns1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los equipos completan los mismos ocho bloques, en este orden y con la misma extensión aproximada. Así los diagnósticos se pueden leer en paralelo y comparar entre sí.</w:t>
      </w:r>
    </w:p>
    <w:tbl>
      <w:tblPr>
        <w:tblStyle w:val="Table1"/>
        <w:tblW w:w="14798.0" w:type="dxa"/>
        <w:jc w:val="left"/>
        <w:tblBorders>
          <w:top w:color="b8c2cf" w:space="0" w:sz="4" w:val="single"/>
          <w:left w:color="b8c2cf" w:space="0" w:sz="4" w:val="single"/>
          <w:bottom w:color="b8c2cf" w:space="0" w:sz="4" w:val="single"/>
          <w:right w:color="b8c2cf" w:space="0" w:sz="4" w:val="single"/>
          <w:insideH w:color="b8c2cf" w:space="0" w:sz="4" w:val="single"/>
          <w:insideV w:color="b8c2cf" w:space="0" w:sz="4" w:val="single"/>
        </w:tblBorders>
        <w:tblLayout w:type="fixed"/>
        <w:tblLook w:val="0020"/>
      </w:tblPr>
      <w:tblGrid>
        <w:gridCol w:w="568"/>
        <w:gridCol w:w="2268"/>
        <w:gridCol w:w="4535"/>
        <w:gridCol w:w="4025"/>
        <w:gridCol w:w="3402"/>
        <w:tblGridChange w:id="0">
          <w:tblGrid>
            <w:gridCol w:w="568"/>
            <w:gridCol w:w="2268"/>
            <w:gridCol w:w="4535"/>
            <w:gridCol w:w="4025"/>
            <w:gridCol w:w="3402"/>
          </w:tblGrid>
        </w:tblGridChange>
      </w:tblGrid>
      <w:tr>
        <w:trPr>
          <w:cantSplit w:val="0"/>
          <w:tblHeader w:val="1"/>
          <w:tblHeader/>
        </w:trPr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#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Bloque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Qué relevar y resultado mínimo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Preguntas guía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Fuentes típicas y documentos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Diagnóstico del problema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Serie de 5 años o máximo disponible: valor, tasa, denominador, unidad, frecuencia y fecha de corte.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Desagregar por universo territorial, sexo/género, edad y nivel socioeconómico cuando exista.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Separar registros administrativos, estimaciones muestrales y percepción.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5 a 10 indicadores, una tabla territorial comparable, tendencia y ficha de vacíos.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¿Qué magnitud tiene y cómo evolucionó? ¿Dónde se concentra? ¿Quiénes están sobrerrepresentados? ¿El cambio refleja una variación real o cambios de registro? ¿Qué comparación nacional es válida?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INDEC: Censo 2022, EPH y estadísticas sectoriales; IPEC; Rosario Datos; Observatorio de Seguridad Pública; ministerios provinciales; registros municipales. Guardar URL, archivo, fecha de descarga y diccionario de variables.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Marco normativo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Constituciones, leyes, decretos, resoluciones, ordenanzas, convenios y fallos relevantes.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Competencia, autoridad de aplicación, obligaciones, financiamiento, sanciones y reglamentación.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Proyectos en trámite y normas sin reglamentar.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línea normativa y matriz de competencias Nación–Provincia–Municipio.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¿Qué derecho u obligación regula el tema? ¿Quién puede decidir, ejecutar y controlar? ¿Hay vacíos, superposición o conflicto de competencias? ¿La norma tiene presupuesto y reglamentación?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InfoLEG; Boletín Oficial nacional y provincial; Sistema de Información de Normativa de Santa Fe; Constitución provincial reformada; Legislatura; Concejo Municipal de Rosario; jurisprudencia oficial.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Instituciones y actores estatales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Nombre oficial, nivel, base legal, funciones, autoridad vigente y organigrama.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Presupuesto 2024–2026, ejecución disponible, planta, infraestructura, sistemas de información y cobertura.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Mecanismos de coordinación, compras, transferencias y control.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mapa de responsables con recursos, capacidades y cuellos de botella.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¿Quién responde por cada resultado? ¿Con qué recursos humanos, físicos y financieros? ¿Qué capacidad falta? ¿Qué datos produce? ¿Cómo coordina con otros niveles?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Gobierno Abierto Santa Fe; Ley de Ministerios 14.224 y modificatorias; Presupuesto 2026 y plurianual; Cuenta de Inversión; presupuesto de Rosario; organigramas; SIGAF; Tribunal de Cuentas; SIGEN/AGN.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Políticas y programas vigentes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Objetivo, población, cobertura, elegibilidad, prestación, responsable, presupuesto y ejecución.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Metas, resultados, evaluaciones, continuidad desde 2022 y articulación territorial.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Programas discontinuados y causas documentadas.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inventario comparado y semáforo de cobertura, desempeño y evidencia.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¿Qué se hace hoy? ¿A quién llega y a quién no? ¿Cumple metas? ¿Qué costo unitario tiene? ¿Existe evaluación de impacto o sólo actividad? ¿Hay duplicación?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Presupuestos por programa; informes de gestión; tableros oficiales; memorias; auditorías; evaluaciones universitarias; pedidos de acceso a información. No inferir resultados desde anuncios.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Casos resonantes en la prensa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Hechos de los últimos 24 meses: fecha, lugar, actores, evidencia, respuesta oficial, estado judicial/administrativo y desenlace.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Separar caso ilustrativo de tendencia estadística.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cronología de 5 a 10 casos con dos fuentes y enlace por caso.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¿Qué falla sistémica expone? ¿Fue excepcional o recurrente? ¿Qué autoridad intervino? ¿Qué cambió después? ¿Qué dato permite verificar el relato?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La Capital, Rosario3, El Litoral, Aire de Santa Fe y medios nacionales; partes oficiales; MPA/Poder Judicial; boletines legislativos. Contrastar titulares con documento primario.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Percepción ciudadana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Encuestas con ficha técnica, fecha, muestra, cobertura y margen de error.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Ranking de problemas, satisfacción, victimización/autorreporte y confianza institucional.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Escucha territorial cualitativa con protocolo común.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cuadro de percepciones y contraste con indicadores objetivos.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¿Cuánto preocupa? ¿A qué grupos? ¿Se percibe mejora? ¿A quién se atribuye responsabilidad? ¿La percepción coincide con los registros?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Encuestas universitarias y consultoras con ficha pública; Defensoría del Pueblo; audiencias; reclamos 147/municipales; entrevistas. Redes sociales sólo como señal no representativa y anonimizada.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Actores sociales y políticos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ONG, sindicatos, cámaras, colegios, universidades, movimientos territoriales y organizaciones de usuarios.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Intereses, propuestas, recursos, posición pública y capacidad de cooperación o veto.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mapa poder–interés y agenda de entrevistas.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¿Quién conoce, ejecuta, financia o bloquea? ¿Qué consensos existen? ¿Qué conflicto distributivo aparece? ¿Qué alianzas son plausibles?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Documentos institucionales; proyectos legislativos; actas; declaraciones; entrevistas semiestructuradas; consejos económicos y sociales; registros de organizaciones.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Síntesis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Entre 3 y 5 nudos críticos sustentados por evidencia.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Fortalezas, debilidades, oportunidades y amenazas; población y territorio prioritarios.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Mapa de competencia por cargo y horizonte 100 días, 2 años y 4–8 años.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Producto mínimo: ficha de dos páginas con evidencia, decisiones posibles, riesgos e indicadores.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¿Qué problema explica mayor daño o inequidad? ¿Qué puede resolver cada nivel? ¿Qué intervención es viable y medible? ¿Qué evidencia falta antes de prometer?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Elaboración propia con trazabilidad a los bloques 1–7. Toda conclusión debe remitir a una fuente o marcarse como hipótesis a validar.</w:t>
            </w:r>
          </w:p>
        </w:tc>
      </w:tr>
    </w:tbl>
    <w:p w:rsidR="00000000" w:rsidDel="00000000" w:rsidP="00000000" w:rsidRDefault="00000000" w:rsidRPr="00000000" ns1:paraId="0000003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Ejes temáticos (tentativos)</w:t>
      </w:r>
    </w:p>
    <w:p w:rsidR="00000000" w:rsidDel="00000000" w:rsidP="00000000" w:rsidRDefault="00000000" w:rsidRPr="00000000" ns1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matriz propone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ejes. Cada uno se trabaja con los ocho bloques del método; la tabla indica, para cada eje, los indicadores mínimos, las instituciones a mapear y los temas o casos a rastrear.</w:t>
      </w:r>
    </w:p>
    <w:tbl>
      <w:tblPr>
        <w:tblStyle w:val="Table2"/>
        <w:tblW w:w="14798.0" w:type="dxa"/>
        <w:jc w:val="left"/>
        <w:tblBorders>
          <w:top w:color="b8c2cf" w:space="0" w:sz="4" w:val="single"/>
          <w:left w:color="b8c2cf" w:space="0" w:sz="4" w:val="single"/>
          <w:bottom w:color="b8c2cf" w:space="0" w:sz="4" w:val="single"/>
          <w:right w:color="b8c2cf" w:space="0" w:sz="4" w:val="single"/>
          <w:insideH w:color="b8c2cf" w:space="0" w:sz="4" w:val="single"/>
          <w:insideV w:color="b8c2cf" w:space="0" w:sz="4" w:val="single"/>
        </w:tblBorders>
        <w:tblLayout w:type="fixed"/>
        <w:tblLook w:val="0020"/>
      </w:tblPr>
      <w:tblGrid>
        <w:gridCol w:w="2836"/>
        <w:gridCol w:w="4535"/>
        <w:gridCol w:w="3742"/>
        <w:gridCol w:w="3685"/>
        <w:tblGridChange w:id="0">
          <w:tblGrid>
            <w:gridCol w:w="2836"/>
            <w:gridCol w:w="4535"/>
            <w:gridCol w:w="3742"/>
            <w:gridCol w:w="3685"/>
          </w:tblGrid>
        </w:tblGridChange>
      </w:tblGrid>
      <w:tr>
        <w:trPr>
          <w:cantSplit w:val="0"/>
          <w:tblHeader w:val="1"/>
          <w:tblHeader/>
        </w:trPr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Eje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Indicadores mínimos bloque 1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Instituciones a mapear bloque 3</w:t>
            </w:r>
          </w:p>
        </w:tc>
        <w:tc>
          <w:tcPr>
            <w:shd w:fill="1f3a5f" w:val="clear"/>
          </w:tcPr>
          <w:p>
            <w:pPr>
              <w:spacing w:after="35" w:line="190" w:lineRule="auto"/>
            </w:pPr>
            <w:r>
              <w:rPr>
                <w:rFonts w:ascii="Arial" w:hAnsi="Arial"/>
                <w:sz w:val="16"/>
                <w:b/>
              </w:rPr>
              <w:t>Temas y casos a rastrear bloque 5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1. Seguridad y convivencia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Homicidios intencionales: cantidad y tasa cada 100.000; provincia, departamentos Rosario y La Capital; serie 2014–2025. Ancla: 204 homicidios provinciales preliminares en 2025, frente a 406 en 2022 y 399 en 2023.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Heridos por arma de fuego; balaceras, amenazas y extorsiones; robos/hurtos denunciados; violencia de género; delitos federales de drogas; llamados y tiempos de respuesta.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Mapa por barrio/distrito de Rosario y perfil de víctimas/victimarios. Comparar tasas sólo con el mismo denominador.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OSP/MPA, SNIC, Policía, SIES y Rosario Datos. Limitación: denuncia y registro cambian según delito.</w:t>
            </w:r>
          </w:p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https://www.santafe.gob.ar/ms/osp/ · Informe anual homicidios 2025: https://www.santafe.gob.ar/ms/osp/wp-content/uploads/sites/46/2026/01/25.12-Informe-Anual-HOMICIDIOS-2025.pdf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de Justicia y Seguridad (Pablo Cococcioni); Secretaría de Seguridad Pública; Policía de Santa Fe; OSP; 911; Servicio Penitenciario.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Municipalidad de Rosario: Control y Convivencia, Guardia Urbana y áreas de prevención.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Ministerio de Seguridad, PFA, GNA, PNA y PSA; fiscalía y justicia federal.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Relevar personal, móviles, cuadrículas, presupuesto y ejecución. Ancla presupuesto 2026: $1,66 billones en seguridad; $1,5 billones para Ministerio y Unidad Ejecutora.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Violencia altamente lesiva; ataques a comercios, escuelas y transporte; extorsiones; armas; cárceles como nodos de mando; despliegue federal; eficacia de patrullaje; convivencia y control urbano. Para cada caso: respuesta, resultado y cambio institucional.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2. Justicia y sistema penal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Causas ingresadas, imputadas, elevadas a juicio, resueltas y archivadas; tasa de esclarecimiento y duración mediana por fuero.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Personas privadas de libertad, tasa cada 100.000, capacidad, ocupación, prisión preventiva, reincidencia, muertes y acceso a defensa.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Dotación y carga por fiscal, defensor y juez; concursos, vacantes y distribución territorial.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MPA, SPPDP, Poder Judicial, Servicio Penitenciario y SNEEP. Si no existe apertura homogénea, consignar “Sin información pública verificable localizada”.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MPA; SPPDP; Corte Suprema y tribunales; Consejo de la Magistratura; Ministerio de Justicia y Seguridad; Servicio Penitenciario.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Público Fiscal y Defensa federal; justicia federal de Rosario y Santa Fe.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Mapear competencia, presupuesto, planta, infraestructura y coordinación.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24/06/2025: traslado de 400 detenidos de comisarías de Rosario a Subunidad 4; 320 plazas y obra de $8.200 millones. https://www.santafe.gob.ar/noticias/noticia/283401/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07/02/2026: ocho ofertas para infraestructura de UP 15 Piñero; presupuesto oficial $32.887,8 millones. https://www.santafe.gob.ar/noticias/noticia/285166/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Rastrear juicios, corrupción, violencia intramuros, concursos y decomiso; verificar estado procesal.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3. Economía producción y empleo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PBG por sector y productividad; producción agroindustrial e industrial; exportaciones, puertos y consumo eléctrico industrial.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EPH Gran Rosario y Gran Santa Fe: actividad, empleo, desocupación, subocupación, informalidad, ingresos y pobreza. No extrapolar a la provincia.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Empleo registrado, empresas, salarios reales, crédito e inversión.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IPEC, INDEC, SIPA/OEDE, BCRA, Aduana, ENAPRO y Rosario Productiva.</w:t>
            </w:r>
          </w:p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https://www.indec.gob.ar/uploads/informesdeprensa/eph_pobreza_09_25D162CC7BFB.pdf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Desarrollo Productivo (Gustavo Puccini); Trabajo (Roald Báscolo); API; Santa Fe Global; ENAPRO.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Desarrollo Económico y Banco Municipal.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Economía, Trabajo, ARCA, BCRA, INTA e INTI.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Presupuesto 2026: $296.639 millones para Desarrollo Productivo.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Mayo 2026: facturación DReI Rosario: -7,3% interanual y -2,9% acumulada interanual. https://datos.rosario.gob.ar/node/375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2024: Gran Rosario: Servicios 331 mil ocupados, Comercio 123 mil, Industria 87 mil y Construcción 53 mil; universo EPH. https://datos.rosario.gob.ar/sites/default/files/2025-09/Rosario%20Productiva%202024.pdf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Rastrear cierres, inversiones, hidrovía, crédito y conflictos laborales.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4. Educación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Matrícula, asistencia, repitencia, abandono, promoción, sobreedad y terminalidad por nivel, gestión y departamento.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Aprender, brechas socioeconómicas, alfabetización, conectividad y días efectivos.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Infraestructura, cargos, vacantes y ausentismo con definición pública.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Ministerio, Relevamiento Anual, Aprender, IPEC y universidades. Anuarios 2020–2024: https://educacion.santafe.gob.ar/informacion-estadistica/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Educación (José Goity); regionales; supervisiones; institutos y universidades.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educación y niñez; Nación: Secretaría de Educación, INET y CONEAU.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Presupuesto 2026: $2,57 billones; $220.010 millones de capital; $81.975 millones BEG; $88.910 millones comedores.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Octubre 2025 / publicación 2026: evaluación lectora: niveles altos +22,6%; críticos -10,3%; palabras correctas/minuto de 43,2 a 50,3. https://www.santafe.gob.ar/noticias/noticia/286196/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Rastrear conflictos salariales, días efectivos, infraestructura, violencia escolar y formación técnica; exigir informe metodológico.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5. Salud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Mortalidad infantil, materna y por causas evitables; esperanza de vida; nacimientos; cobertura pública/obra social/prepaga.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Consultas, egresos, camas, ocupación, turnos y espera; personal por profesión y territorio; gasto y ejecución; medicamentos.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Salud mental, suicidio, consumos problemáticos, dengue y otras enfermedades priorizadas; vacunación.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red municipal y provincial por distrito. Fuentes: DEIS, Ministerio, SISA, IPEC y Sistema Municipal de Epidemiología.</w:t>
            </w:r>
          </w:p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Rosario Datos salud: https://datos.rosario.gob.ar/salud/informacion-sobre-problemas-de-salud · Atenciones 2024: https://datos.rosario.gob.ar/salud/atenciones-y-practicas-en-efectores-municipales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de Salud (Silvia Ciancio); hospitales y regiones; IAPOS; ASSAL; SIES 107.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Secretaría de Salud Pública de Rosario; hospitales, centros de salud y SAME/SIES.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Ministerio de Salud, ANMAT, PAMI, SEDRONAR y Superintendencia de Servicios de Salud.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Ancla presupuesto 2026: $1,54 billones para salud; $1,11 billones para Ministerio; $49.637 millones en medicamentos.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Demoras de guardia y turnos; faltantes; crisis de financiamiento; dengue; salud mental; consumos; violencia hacia personal; derivaciones y articulación de redes. Caso debe acompañarse con indicador de capacidad y respuesta.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6. Hábitat y vivienda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Déficit cuantitativo y cualitativo; hacinamiento; tenencia; acceso a agua, cloaca, gas y baño; materiales y riesgo hídrico.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RENABAP: barrios, familias y servicios; urbanizaciones, lotes y viviendas terminadas; regularización dominial.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Alquiler: oferta, precio mediano, esfuerzo sobre ingreso, desalojos y vacancia; permisos de edificación y valor del suelo.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Censo 2022, IPEC, RENABAP, Rosario Datos, SPV, Catastro y Colegio de Corredores.</w:t>
            </w:r>
          </w:p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Condiciones habitacionales Rosario 2025: https://datos.rosario.gob.ar/sites/default/files/2025-09/informe%20condiciones%20habitacionales.pdf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Secretaría de Hábitat y Vivienda provincial; Dirección Provincial de Vivienda y Urbanismo; Catastro; Ambiente; ASSA/EPE.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Servicio Público de la Vivienda y el Hábitat; Planeamiento; Obras Particulares; Desarrollo Humano.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áreas de vivienda y Registro Nacional de Barrios Populares, según estructura vigente.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Mapear banco de tierras, presupuesto, producción anual, adjudicación, recupero y articulación con servicios.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Tomas y desalojos; urbanización de barrios populares; inundabilidad; acceso al alquiler; desarrollos y convenios urbanísticos; edificios ociosos; regularización dominial; obras de agua y saneamiento.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7. Infraestructura transporte y movilidad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Estado y transitabilidad de rutas; kilómetros intervenidos; inversión y avance físico/financiero; puentes, ferrocarril, puertos e hidrovía.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Transporte urbano/interurbano: pasajeros, frecuencia real, puntualidad, tarifa, subsidio por pasajero, flota, accesibilidad y satisfacción.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Siniestralidad: muertos y lesionados por 100.000, tipo de usuario, vía y horario; uso modal, bicicletas y caminabilidad.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Obras Públicas, Vialidad, APSV, CNRT, SUBE, ENAPRO, EMR y Rosario Datos.</w:t>
            </w:r>
          </w:p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Dato ancla Rosario: mortalidad por accidentes de transporte bajó de 5,8 por 100.000 en 2015 a 2 en 2022. Fuente: https://datos.rosario.gob.ar/sites/default/files/2025-03/Situaci%C3%B3n%20epidemiol%C3%B3gica%20semana%2011%202025.pdf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de Obras Públicas (Lisandro Enrico); Vialidad Provincial; APSV; Desarrollo Productivo/Transporte; ENAPRO.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Secretaría de Movilidad, Ente de la Movilidad, SEMTUR/MOVI según estructura vigente, Planeamiento y Obras Públicas.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Transporte, Vialidad Nacional, CNRT, ANSV, Trenes Argentinos y autoridad de vía navegable.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Ancla presupuesto 2026: $1,8 billones en obras públicas y transferencias de capital.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Crisis de financiamiento y frecuencias; tarifa y subsidios; siniestros en rutas; obras paralizadas/reiniciadas; circunvalación; puertos e hidrovía; accesibilidad; conflictos de tránsito pesado.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8. Energía y servicios públicos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Tarifa final y peso en ingreso; hogares con tarifa social; deuda y morosidad.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Cortes: frecuencia y duración SAIFI/SAIDI cuando se publique, reclamos y tiempo de reposición; pérdidas e inversión de EPE.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Agua: cobertura, continuidad, calidad, pérdidas, cloacas y tratamiento; gas por red; conectividad fija/móvil.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Comparar jurisdicciones sólo con igual categoría de usuario y consumo. Fuentes: EPE, ASSA, ENARGAS, ENRE/Secretaría de Energía, ENACOM, IPEC.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EPE; ASSA; Ministerio de Desarrollo Productivo/Energía; cooperativas eléctricas y de servicios.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áreas municipales de servicios y defensa del consumidor.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Secretaría de Energía, ENARGAS, ENACOM; Litoral Gas como concesionaria.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Ancla 2026: $83.962 millones para recambio de redes ASSA y $36.555 millones para grandes acueductos.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Aumentos tarifarios; cortes de verano; incendios o fallas; obras eléctricas, acueductos y cloacas; subsidios; calidad del agua; expansión de gas; conectividad en barrios y localidades.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9. Ciencia tecnología e innovación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Gasto en I+D público/privado como % del PBG; investigadores y becarios por 10.000 ocupados; proyectos y financiamiento por institución.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Empresas de base tecnológica, startups, empleo TIC/biotech, salarios, exportaciones de servicios, patentes/modelos y supervivencia empresarial.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Capacidades: institutos, laboratorios, equipamiento, incubadoras, parques y vínculos universidad–empresa; conectividad y habilidades digitales.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RICYT, SICYTAR, CONICET, Agencia I+D+i, Provincia, universidades, INDEC/IPEC, Rosario Productiva y Polo Tecnológico. Vacío clave: no existe una serie provincial única e interoperable.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de Desarrollo Productivo y Secretaría de Ciencia, Tecnología e Innovación; Gobierno e Innovación Pública; Santa Fe Global.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CONICET Rosario y Santa Fe; UNR, UNL, UTN y otras universidades; INTA, INTI y Agencia I+D+i.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Agencia/áreas de ciencia, producción y transformación digital; Polo Tecnológico Rosario; parques científicos.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Mapear autoridades, convocatorias, presupuesto, ejecución, cartera, equipamiento y propiedad intelectual.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Biotecnología, agro, salud, software e IA; financiamiento científico; fuga/retorno de talento; compra pública innovadora; adopción tecnológica pyme; conectividad; datos e IA responsable. Proyecto transversal sugerido: mapa vivo de capacidades y banco de desafíos con revisión humana.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10. Cultura deporte y juventudes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Oferta, asistencia y gasto cultural por habitante; empleo e industrias culturales; museos, bibliotecas, centros y festivales.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Clubes, socios, infraestructura, tarifa de servicios, becas deportivas y práctica física; espacios verdes/deportivos por territorio.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Juventudes: población que no estudia ni tiene empleo, terminalidad, empleo informal, salud mental, consumos, participación y acceso digital.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Fuentes: Cultura y Deportes provincial/municipal, INDEC-EPH, SINCA, ENAFyS/encuestas disponibles, Registro de Clubes y Rosario Datos.</w:t>
            </w:r>
          </w:p>
        </w:tc>
        <w:tc>
          <w:tcPr/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Ministerio de Cultura (Susana Rueda); áreas provinciales de deportes y juventudes; Igualdad y Desarrollo Humano.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Rosario: Cultura y Educación; Deporte y Turismo; Juventudes; distritos y centros culturales.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Nación: Cultura, Turismo y Deportes según estructura vigente; ENARD. Universidades, clubes y federaciones como actores clave.</w:t>
            </w:r>
          </w:p>
          <w:p>
            <w:pPr>
              <w:spacing w:after="35" w:line="190" w:lineRule="auto"/>
              <w:ind w:left="180" w:hanging="120"/>
            </w:pPr>
            <w:r>
              <w:rPr>
                <w:rFonts w:ascii="Arial" w:hAnsi="Arial"/>
                <w:sz w:val="15"/>
              </w:rPr>
              <w:t>• Relevar presupuesto, subsidios, personal, infraestructura, criterios de distribución y cobertura territorial.</w:t>
            </w:r>
          </w:p>
        </w:tc>
        <w:tc>
          <w:tcPr/>
          <w:p>
            <w:pPr>
              <w:spacing w:after="35" w:line="190" w:lineRule="auto"/>
            </w:pPr>
            <w:r>
              <w:rPr>
                <w:rFonts w:ascii="Arial" w:hAnsi="Arial"/>
                <w:sz w:val="15"/>
              </w:rPr>
              <w:t>Sostenibilidad de clubes de barrio; violencia en fútbol; acceso desigual a cultura; cierre o deterioro de espacios; festivales y turismo; nocturnidad; empleo joven; consumos y salud mental; uso cultural del espacio público.</w:t>
            </w:r>
          </w:p>
        </w:tc>
      </w:tr>
    </w:tbl>
    <w:p w:rsidR="00000000" w:rsidDel="00000000" w:rsidP="00000000" w:rsidRDefault="00000000" w:rsidRPr="00000000" ns1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equipos pueden sumar indicadores o fusionar ejes si el volumen de información lo justifica, siempre que mantengan los ocho bloques.</w:t>
      </w:r>
      <w:r w:rsidDel="00000000" w:rsidR="00000000" w:rsidRPr="00000000">
        <w:rPr>
          <w:rtl w:val="0"/>
        </w:rPr>
      </w:r>
    </w:p>
    <w:sectPr>
      <w:footerReference ns2:id="rId7" w:type="default"/>
      <w:footerReference ns2:id="rId8" w:type="even"/>
      <w:pgSz w:h="12240" w:w="15840" w:orient="landscape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1f3a5f"/>
      <w:sz w:val="40"/>
      <w:szCs w:val="40"/>
    </w:rPr>
  </w:style>
  <w:style w:type="paragraph" w:styleId="Ttulo7">
    <w:name w:val="heading 7"/>
    <w:basedOn w:val="Normal"/>
    <w:next w:val="Textoindependiente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paragraph" w:styleId="Author" w:customStyle="1">
    <w:name w:val="Author"/>
    <w:next w:val="Textoindependiente"/>
    <w:qFormat w:val="1"/>
    <w:pPr>
      <w:keepNext w:val="1"/>
      <w:keepLines w:val="1"/>
      <w:jc w:val="center"/>
    </w:pPr>
    <w:rPr>
      <w:rFonts w:ascii="Calibri" w:cs="Calibri" w:eastAsia="Calibri" w:hAnsi="Calibri"/>
    </w:rPr>
  </w:style>
  <w:style w:type="paragraph" w:styleId="Fecha">
    <w:name w:val="Date"/>
    <w:next w:val="Textoindependiente"/>
    <w:qFormat w:val="1"/>
    <w:pPr>
      <w:keepNext w:val="1"/>
      <w:keepLines w:val="1"/>
      <w:jc w:val="center"/>
    </w:pPr>
    <w:rPr>
      <w:rFonts w:ascii="Calibri" w:cs="Calibri" w:eastAsia="Calibri" w:hAnsi="Calibri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Cs w:val="20"/>
    </w:rPr>
  </w:style>
  <w:style w:type="paragraph" w:styleId="Bibliografa">
    <w:name w:val="Bibliography"/>
    <w:basedOn w:val="Normal"/>
    <w:qFormat w:val="1"/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rPr>
      <w:rFonts w:ascii="Calibri" w:cs="Calibri" w:eastAsia="Calibri" w:hAnsi="Calibri"/>
      <w:sz w:val="20"/>
      <w:szCs w:val="20"/>
      <w:lang w:eastAsia="es-MX" w:val="es-AR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  <w:rPr>
      <w:rFonts w:ascii="Calibri" w:cs="Calibri" w:eastAsia="Calibri" w:hAnsi="Calibri"/>
    </w:rPr>
  </w:style>
  <w:style w:type="character" w:styleId="VerbatimChar" w:customStyle="1">
    <w:name w:val="Verbatim Char"/>
    <w:basedOn w:val="DescripcinCar"/>
    <w:link w:val="SourceCode"/>
    <w:rPr>
      <w:rFonts w:ascii="Calibri" w:cs="Calibri" w:eastAsia="Calibri" w:hAnsi="Calibri"/>
      <w:sz w:val="22"/>
    </w:rPr>
  </w:style>
  <w:style w:type="character" w:styleId="SectionNumber" w:customStyle="1">
    <w:name w:val="Section Number"/>
    <w:basedOn w:val="DescripcinCar"/>
    <w:rPr>
      <w:rFonts w:ascii="Calibri" w:cs="Calibri" w:eastAsia="Calibri" w:hAnsi="Calibri"/>
    </w:rPr>
  </w:style>
  <w:style w:type="character" w:styleId="Refdenotaalpie">
    <w:name w:val="footnote reference"/>
    <w:basedOn w:val="DescripcinCar"/>
    <w:rPr>
      <w:rFonts w:ascii="Calibri" w:cs="Calibri" w:eastAsia="Calibri" w:hAnsi="Calibri"/>
      <w:vertAlign w:val="superscript"/>
    </w:rPr>
  </w:style>
  <w:style w:type="character" w:styleId="Hipervnculo">
    <w:name w:val="Hyperlink"/>
    <w:basedOn w:val="DescripcinCar"/>
    <w:rPr>
      <w:rFonts w:ascii="Calibri" w:cs="Calibri" w:eastAsia="Calibri" w:hAnsi="Calibri"/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alibri" w:cs="Calibri" w:eastAsia="Calibri" w:hAnsi="Calibri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alibri" w:cs="Calibri" w:eastAsia="Calibri" w:hAnsi="Calibri"/>
      <w:color w:val="902000"/>
      <w:sz w:val="22"/>
    </w:rPr>
  </w:style>
  <w:style w:type="character" w:styleId="DecValTok" w:customStyle="1">
    <w:name w:val="DecValTok"/>
    <w:basedOn w:val="VerbatimChar"/>
    <w:rPr>
      <w:rFonts w:ascii="Calibri" w:cs="Calibri" w:eastAsia="Calibri" w:hAnsi="Calibri"/>
      <w:color w:val="40a070"/>
      <w:sz w:val="22"/>
    </w:rPr>
  </w:style>
  <w:style w:type="character" w:styleId="BaseNTok" w:customStyle="1">
    <w:name w:val="BaseNTok"/>
    <w:basedOn w:val="VerbatimChar"/>
    <w:rPr>
      <w:rFonts w:ascii="Calibri" w:cs="Calibri" w:eastAsia="Calibri" w:hAnsi="Calibri"/>
      <w:color w:val="40a070"/>
      <w:sz w:val="22"/>
    </w:rPr>
  </w:style>
  <w:style w:type="character" w:styleId="FloatTok" w:customStyle="1">
    <w:name w:val="FloatTok"/>
    <w:basedOn w:val="VerbatimChar"/>
    <w:rPr>
      <w:rFonts w:ascii="Calibri" w:cs="Calibri" w:eastAsia="Calibri" w:hAnsi="Calibri"/>
      <w:color w:val="40a070"/>
      <w:sz w:val="22"/>
    </w:rPr>
  </w:style>
  <w:style w:type="character" w:styleId="ConstantTok" w:customStyle="1">
    <w:name w:val="ConstantTok"/>
    <w:basedOn w:val="VerbatimChar"/>
    <w:rPr>
      <w:rFonts w:ascii="Calibri" w:cs="Calibri" w:eastAsia="Calibri" w:hAnsi="Calibri"/>
      <w:color w:val="880000"/>
      <w:sz w:val="22"/>
    </w:rPr>
  </w:style>
  <w:style w:type="character" w:styleId="CharTok" w:customStyle="1">
    <w:name w:val="CharTok"/>
    <w:basedOn w:val="VerbatimChar"/>
    <w:rPr>
      <w:rFonts w:ascii="Calibri" w:cs="Calibri" w:eastAsia="Calibri" w:hAnsi="Calibri"/>
      <w:color w:val="4070a0"/>
      <w:sz w:val="22"/>
    </w:rPr>
  </w:style>
  <w:style w:type="character" w:styleId="SpecialCharTok" w:customStyle="1">
    <w:name w:val="SpecialCharTok"/>
    <w:basedOn w:val="VerbatimChar"/>
    <w:rPr>
      <w:rFonts w:ascii="Calibri" w:cs="Calibri" w:eastAsia="Calibri" w:hAnsi="Calibri"/>
      <w:color w:val="4070a0"/>
      <w:sz w:val="22"/>
    </w:rPr>
  </w:style>
  <w:style w:type="character" w:styleId="StringTok" w:customStyle="1">
    <w:name w:val="StringTok"/>
    <w:basedOn w:val="VerbatimChar"/>
    <w:rPr>
      <w:rFonts w:ascii="Calibri" w:cs="Calibri" w:eastAsia="Calibri" w:hAnsi="Calibri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alibri" w:cs="Calibri" w:eastAsia="Calibri" w:hAnsi="Calibri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alibri" w:cs="Calibri" w:eastAsia="Calibri" w:hAnsi="Calibri"/>
      <w:color w:val="bb6688"/>
      <w:sz w:val="22"/>
    </w:rPr>
  </w:style>
  <w:style w:type="character" w:styleId="ImportTok" w:customStyle="1">
    <w:name w:val="ImportTok"/>
    <w:basedOn w:val="VerbatimChar"/>
    <w:rPr>
      <w:rFonts w:ascii="Calibri" w:cs="Calibri" w:eastAsia="Calibri" w:hAnsi="Calibri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alibri" w:cs="Calibri" w:eastAsia="Calibri" w:hAnsi="Calibri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alibri" w:cs="Calibri" w:eastAsia="Calibri" w:hAnsi="Calibri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alibri" w:cs="Calibri" w:eastAsia="Calibri" w:hAnsi="Calibri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alibri" w:cs="Calibri" w:eastAsia="Calibri" w:hAnsi="Calibri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alibri" w:cs="Calibri" w:eastAsia="Calibri" w:hAnsi="Calibri"/>
      <w:color w:val="007020"/>
      <w:sz w:val="22"/>
    </w:rPr>
  </w:style>
  <w:style w:type="character" w:styleId="FunctionTok" w:customStyle="1">
    <w:name w:val="FunctionTok"/>
    <w:basedOn w:val="VerbatimChar"/>
    <w:rPr>
      <w:rFonts w:ascii="Calibri" w:cs="Calibri" w:eastAsia="Calibri" w:hAnsi="Calibri"/>
      <w:color w:val="06287e"/>
      <w:sz w:val="22"/>
    </w:rPr>
  </w:style>
  <w:style w:type="character" w:styleId="VariableTok" w:customStyle="1">
    <w:name w:val="VariableTok"/>
    <w:basedOn w:val="VerbatimChar"/>
    <w:rPr>
      <w:rFonts w:ascii="Calibri" w:cs="Calibri" w:eastAsia="Calibri" w:hAnsi="Calibri"/>
      <w:color w:val="19177c"/>
      <w:sz w:val="22"/>
    </w:rPr>
  </w:style>
  <w:style w:type="character" w:styleId="ControlFlowTok" w:customStyle="1">
    <w:name w:val="ControlFlowTok"/>
    <w:basedOn w:val="VerbatimChar"/>
    <w:rPr>
      <w:rFonts w:ascii="Calibri" w:cs="Calibri" w:eastAsia="Calibri" w:hAnsi="Calibri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alibri" w:cs="Calibri" w:eastAsia="Calibri" w:hAnsi="Calibri"/>
      <w:color w:val="666666"/>
      <w:sz w:val="22"/>
    </w:rPr>
  </w:style>
  <w:style w:type="character" w:styleId="BuiltInTok" w:customStyle="1">
    <w:name w:val="BuiltInTok"/>
    <w:basedOn w:val="VerbatimChar"/>
    <w:rPr>
      <w:rFonts w:ascii="Calibri" w:cs="Calibri" w:eastAsia="Calibri" w:hAnsi="Calibri"/>
      <w:color w:val="008000"/>
      <w:sz w:val="22"/>
    </w:rPr>
  </w:style>
  <w:style w:type="character" w:styleId="ExtensionTok" w:customStyle="1">
    <w:name w:val="ExtensionTok"/>
    <w:basedOn w:val="VerbatimChar"/>
    <w:rPr>
      <w:rFonts w:ascii="Calibri" w:cs="Calibri" w:eastAsia="Calibri" w:hAnsi="Calibri"/>
      <w:sz w:val="22"/>
    </w:rPr>
  </w:style>
  <w:style w:type="character" w:styleId="PreprocessorTok" w:customStyle="1">
    <w:name w:val="PreprocessorTok"/>
    <w:basedOn w:val="VerbatimChar"/>
    <w:rPr>
      <w:rFonts w:ascii="Calibri" w:cs="Calibri" w:eastAsia="Calibri" w:hAnsi="Calibri"/>
      <w:color w:val="bc7a00"/>
      <w:sz w:val="22"/>
    </w:rPr>
  </w:style>
  <w:style w:type="character" w:styleId="AttributeTok" w:customStyle="1">
    <w:name w:val="AttributeTok"/>
    <w:basedOn w:val="VerbatimChar"/>
    <w:rPr>
      <w:rFonts w:ascii="Calibri" w:cs="Calibri" w:eastAsia="Calibri" w:hAnsi="Calibri"/>
      <w:color w:val="7d9029"/>
      <w:sz w:val="22"/>
    </w:rPr>
  </w:style>
  <w:style w:type="character" w:styleId="RegionMarkerTok" w:customStyle="1">
    <w:name w:val="RegionMarkerTok"/>
    <w:basedOn w:val="VerbatimChar"/>
    <w:rPr>
      <w:rFonts w:ascii="Calibri" w:cs="Calibri" w:eastAsia="Calibri" w:hAnsi="Calibri"/>
      <w:sz w:val="22"/>
    </w:rPr>
  </w:style>
  <w:style w:type="character" w:styleId="InformationTok" w:customStyle="1">
    <w:name w:val="InformationTok"/>
    <w:basedOn w:val="VerbatimChar"/>
    <w:rPr>
      <w:rFonts w:ascii="Calibri" w:cs="Calibri" w:eastAsia="Calibri" w:hAnsi="Calibri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alibri" w:cs="Calibri" w:eastAsia="Calibri" w:hAnsi="Calibri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alibri" w:cs="Calibri" w:eastAsia="Calibri" w:hAnsi="Calibri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alibri" w:cs="Calibri" w:eastAsia="Calibri" w:hAnsi="Calibri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alibri" w:cs="Calibri" w:eastAsia="Calibri" w:hAnsi="Calibri"/>
      <w:sz w:val="22"/>
    </w:rPr>
  </w:style>
  <w:style w:type="paragraph" w:styleId="Piedepgina">
    <w:name w:val="footer"/>
    <w:basedOn w:val="Normal"/>
    <w:link w:val="PiedepginaCar"/>
    <w:rsid w:val="000C002B"/>
    <w:pPr>
      <w:tabs>
        <w:tab w:val="center" w:pos="4419"/>
        <w:tab w:val="right" w:pos="8838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rsid w:val="000C002B"/>
    <w:rPr>
      <w:rFonts w:ascii="Calibri" w:cs="Calibri" w:eastAsia="Calibri" w:hAnsi="Calibri"/>
      <w:sz w:val="20"/>
    </w:rPr>
  </w:style>
  <w:style w:type="character" w:styleId="Nmerodepgina">
    <w:name w:val="page number"/>
    <w:basedOn w:val="Fuentedeprrafopredeter"/>
    <w:rsid w:val="000C002B"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table" w:styleId="Table1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JwvQPd8ZA228j1rgUZIieoDHg==">CgMxLjAyDmlkLmk3bmJ5bXZpZDlqMg9pZC51YzBndm1neGNib2EyD2lkLnZ5b2I5NHo5MmlkcDgAciExazJvZzAwV2EyOHNkQl9Ma1FDR1lfN0RrcUZ4NDRrZnI=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2026-10-19T02:07:00Z</dcterms:created>
  <dc:creator>Santiago Boggione</dc:creator>
</cp:coreProperties>
</file>