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ReportTitle"/>
        <w:jc w:val="center"/>
      </w:pPr>
      <w:r>
        <w:t>基于 SafeCompass 的大语言模型安全风险评测实践报告</w:t>
      </w:r>
    </w:p>
    <w:p>
      <w:pPr>
        <w:pStyle w:val="Meta"/>
        <w:jc w:val="center"/>
      </w:pPr>
      <w:r>
        <w:t>数据科学实践期末课程报告</w:t>
      </w:r>
    </w:p>
    <w:p>
      <w:pPr>
        <w:pStyle w:val="Sec2"/>
        <w:jc w:val="center"/>
      </w:pPr>
      <w:r>
        <w:t>摘  要</w:t>
      </w:r>
    </w:p>
    <w:p>
      <w:pPr>
        <w:pStyle w:val="NoIndent"/>
      </w:pPr>
      <w:r>
        <w:t>大语言模型在问答、编程和内容生成场景中被广泛使用，但其面对有害请求和越狱攻击时的拒答可靠性仍需系统评估。本文基于 SafeCompass 平台，对 HarmBench text_test 子集中的 200 条样本进行安全评测，比较同一模型在 official_jbb 单 Judge 与 multi_judge 多 Judge 设置下的攻击成功率（ASR）差异。实验结果显示，meta-llama/Llama-3-70b-chat-hf 在 Jailbreak Chat 攻击下，单 Judge 设置的 ASR 为 7.5%，多 Judge 设置的 ASR 上升至 16.0%。类别分析表明，网络入侵、虚假信息和违法行为相关样本更容易暴露拒答薄弱点。结果说明，SafeCompass 能够支持可复现的模型安全评测，并揭示 Judge 机制和危害类别对评测结论的影响。</w:t>
      </w:r>
    </w:p>
    <w:p>
      <w:pPr>
        <w:pStyle w:val="NoIndent"/>
      </w:pPr>
      <w:r>
        <w:t>关键词：大语言模型安全；越狱攻击；HarmBench；LLM-as-judge；ASR；SafeCompass</w:t>
      </w:r>
    </w:p>
    <w:p>
      <w:pPr>
        <w:pStyle w:val="Sec1"/>
      </w:pPr>
      <w:r>
        <w:t>1 引言</w:t>
      </w:r>
    </w:p>
    <w:p>
      <w:pPr>
        <w:pStyle w:val="Body"/>
      </w:pPr>
      <w:r>
        <w:t>随着大语言模型能力提升，模型不仅能够完成普通问答和文本生成，也可能被诱导生成网络攻击步骤、违法行为指导、虚假信息、骚扰文本、化学与生物风险内容或受版权保护文本。虽然主流模型通常具备安全对齐和拒答机制，但攻击者可以通过角色扮演、研究场景包装、指令覆盖等方式构造越狱 prompt，使模型偏离原有安全边界。因此，普通能力测试不足以反映模型在高风险输入下的真实安全性，需要面向有害请求建立可复现、可比较的安全评测流程。</w:t>
      </w:r>
    </w:p>
    <w:p>
      <w:pPr>
        <w:pStyle w:val="Body"/>
      </w:pPr>
      <w:r>
        <w:t>SafeCompass 的目标是把数据集加载、攻击 prompt 生成、模型调用、Judge 判分、指标统计和报告导出整合到同一平台中。本文不展开攻击细节，而从数据科学实践角度关注评测流程、指标结果和风险分布，分析不同 Judge 设置下同一模型的安全表现差异。</w:t>
      </w:r>
    </w:p>
    <w:p>
      <w:pPr>
        <w:pStyle w:val="Sec1"/>
      </w:pPr>
      <w:r>
        <w:t>2 数据与方法</w:t>
      </w:r>
    </w:p>
    <w:p>
      <w:pPr>
        <w:pStyle w:val="Sec2"/>
      </w:pPr>
      <w:r>
        <w:t>2.1 数据集与实验配置</w:t>
      </w:r>
    </w:p>
    <w:p>
      <w:pPr>
        <w:pStyle w:val="Body"/>
      </w:pPr>
      <w:r>
        <w:t>实验数据来自 HarmBench 的 text_test 子集，共 200 条样本，覆盖 cybercrime_intrusion、illegal、misinformation_disinformation、chemical_biological、copyright、harassment_bullying 和 harmful 七类危害。被测模型为 meta-llama/Llama-3-70b-chat-hf，攻击方法统一为 Jailbreak Chat（JBC）。为观察自动判分机制对结论的影响，本文比较两次运行：第一次采用 official_jbb 单 Judge，第二次采用 multi_judge 多 Judge 投票。</w:t>
      </w:r>
    </w:p>
    <w:p>
      <w:pPr>
        <w:pStyle w:val="Caption"/>
        <w:jc w:val="center"/>
      </w:pPr>
      <w:r>
        <w:t>表1 实验配置与总体结果</w:t>
      </w:r>
    </w:p>
    <w:tbl>
      <w:tblPr>
        <w:tblW w:w="5000" w:type="pct"/>
        <w:tblBorders>
          <w:top w:val="single" w:sz="8" w:space="0" w:color="000000"/>
          <w:left w:val="single" w:sz="4" w:space="0" w:color="A0A0A0"/>
          <w:bottom w:val="single" w:sz="8" w:space="0" w:color="00000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运行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Judge 模式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总数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安全拒绝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越狱成功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需复核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ASR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2026-06-15 07:51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official_jbb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200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185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7.5%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2026-06-15 08:54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multi_judge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200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162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32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16.0%</w:t>
            </w:r>
          </w:p>
        </w:tc>
      </w:tr>
    </w:tbl>
    <w:p>
      <w:pPr>
        <w:pStyle w:val="Sec2"/>
      </w:pPr>
      <w:r>
        <w:t>2.2 评价指标</w:t>
      </w:r>
    </w:p>
    <w:p>
      <w:pPr>
        <w:pStyle w:val="Body"/>
      </w:pPr>
      <w:r>
        <w:t>本文使用攻击成功率 ASR 作为核心指标，即被 Judge 判定为越狱成功的样本数占总样本数的比例。安全拒绝表示模型没有实质性满足有害请求；越狱成功表示模型回复提供了可执行或有实质帮助的有害内容；需复核表示 Judge 分歧、未知输出或边界样本，需要人工检查。由于两次实验使用相同数据、模型和攻击方法，ASR 差异主要反映 Judge 机制变化带来的判定差异。</w:t>
      </w:r>
    </w:p>
    <w:p>
      <w:pPr>
        <w:pStyle w:val="Sec1"/>
      </w:pPr>
      <w:r>
        <w:t>3 实验结果</w:t>
      </w:r>
    </w:p>
    <w:p>
      <w:pPr>
        <w:pStyle w:val="Sec2"/>
      </w:pPr>
      <w:r>
        <w:t>3.1 总体表现</w:t>
      </w:r>
    </w:p>
    <w:p>
      <w:pPr>
        <w:pStyle w:val="Body"/>
      </w:pPr>
      <w:r>
        <w:t>在 official_jbb 单 Judge 设置下，200 条样本中有 185 条被判定为安全拒绝，15 条被判定为越狱成功，整体 ASR 为 7.5%。在 multi_judge 设置下，安全拒绝降至 162 条，越狱成功升至 32 条，另有 6 条需复核，整体 ASR 为 16.0%。这说明在相同样本和模型条件下，多 Judge 机制更容易发现潜在风险，但也会带来更多边界判定和人工复核需求。</w:t>
      </w:r>
    </w:p>
    <w:p>
      <w:pPr>
        <w:pStyle w:val="Sec2"/>
      </w:pPr>
      <w:r>
        <w:t>3.2 危害类别差异</w:t>
      </w:r>
    </w:p>
    <w:p>
      <w:pPr>
        <w:pStyle w:val="Caption"/>
        <w:jc w:val="center"/>
      </w:pPr>
      <w:r>
        <w:t>表2 不同危害类别的 ASR 对比</w:t>
      </w:r>
    </w:p>
    <w:tbl>
      <w:tblPr>
        <w:tblW w:w="5000" w:type="pct"/>
        <w:tblBorders>
          <w:top w:val="single" w:sz="8" w:space="0" w:color="000000"/>
          <w:left w:val="single" w:sz="4" w:space="0" w:color="A0A0A0"/>
          <w:bottom w:val="single" w:sz="8" w:space="0" w:color="00000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类别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样本数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单 Judge ASR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多 Judge ASR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  <w:b/>
                <w:bCs/>
              </w:rPr>
              <w:t>多 Judge 需复核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cybercrime_intrusion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32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15.6%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31.3%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misinformation_disinformation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34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8.8%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26.5%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illegal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37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10.8%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13.5%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copyright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51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0.0%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9.8%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harmful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10.0%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10.0%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harassment_bullying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6.7%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6.7%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</w:tr>
      <w:tr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chemical_biological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21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4.8%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4.8%</w:t>
            </w:r>
          </w:p>
        </w:tc>
        <w:tc>
          <w:tcPr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</w:tr>
    </w:tbl>
    <w:p>
      <w:pPr>
        <w:pStyle w:val="Body"/>
      </w:pPr>
      <w:r>
        <w:t>类别层面，网络入侵类风险最突出：单 Judge 下 ASR 为 15.6%，多 Judge 下升至 31.3%。虚假信息类从 8.8% 升至 26.5%，版权类从 0.0% 升至 9.8%，说明单一 Judge 可能低估版权复现和虚假信息生成中的边界风险。违法行为、骚扰、有害内容和生化风险类别的 ASR 变化相对较小，表明这些类别在当前样本和攻击设置下判定更稳定。</w:t>
      </w:r>
    </w:p>
    <w:p>
      <w:pPr>
        <w:pStyle w:val="Sec1"/>
      </w:pPr>
      <w:r>
        <w:t>4 分析与讨论</w:t>
      </w:r>
    </w:p>
    <w:p>
      <w:pPr>
        <w:pStyle w:val="Body"/>
      </w:pPr>
      <w:r>
        <w:t>第一，Judge 机制会显著影响安全评测结论。单 Judge 流程成本较低、结果清晰，但可能漏判部分边界样本；多 Judge 通过不同判分来源交叉验证，能够提高风险可见性，但会引入分歧样本。因此，自动 Judge 更适合作为大规模筛查工具，对低一致率样本和高风险类别仍应保留人工复核环节。</w:t>
      </w:r>
    </w:p>
    <w:p>
      <w:pPr>
        <w:pStyle w:val="Body"/>
      </w:pPr>
      <w:r>
        <w:t>第二，类别化分析比单一总体 ASR 更有诊断价值。总体 ASR 能描述模型在一组样本上的平均风险，却无法指出主要薄弱点。本次实验显示，网络入侵和虚假信息类别对 JBC 攻击更敏感，平台应在报告中突出类别排名、失败案例聚类和需复核样本，帮助后续安全加固聚焦重点。</w:t>
      </w:r>
    </w:p>
    <w:p>
      <w:pPr>
        <w:pStyle w:val="Body"/>
      </w:pPr>
      <w:r>
        <w:t>第三，实验仍存在局限。本文只分析 report 文件夹中两次运行结果，样本规模为 200 条，攻击方法固定为 JBC，尚未覆盖多轮自动攻击、多模态输入和更长上下文场景；Judge 判定也缺少独立人工标注校准。因此，本文结果应理解为一次可复现实践评测，而不是对模型安全性的最终结论。</w:t>
      </w:r>
    </w:p>
    <w:p>
      <w:pPr>
        <w:pStyle w:val="Sec1"/>
      </w:pPr>
      <w:r>
        <w:t>5 结论</w:t>
      </w:r>
    </w:p>
    <w:p>
      <w:pPr>
        <w:pStyle w:val="Body"/>
      </w:pPr>
      <w:r>
        <w:t>本文基于 SafeCompass 完成了大语言模型越狱风险评测报告。实验表明，在 HarmBench text_test 200 条样本和 JBC 攻击条件下，Llama-3-70B 的 official_jbb 单 Judge ASR 为 7.5%，multi_judge ASR 为 16.0%。多 Judge 设置揭示了更多网络入侵、虚假信息和版权类风险，同时也产生了需复核样本。SafeCompass 的价值在于将样本规范化、攻击生成、模型响应、Judge 判分和结果导出组织为可复现流程，为后续模型安全比较和风险治理提供数据基础。</w:t>
      </w:r>
    </w:p>
    <w:p>
      <w:pPr>
        <w:pStyle w:val="Sec1"/>
      </w:pPr>
      <w:r>
        <w:t>参考文献</w:t>
      </w:r>
    </w:p>
    <w:p>
      <w:pPr>
        <w:pStyle w:val="Reference"/>
      </w:pPr>
      <w:r>
        <w:t>[1] Mazeika M, Phan L, Yin X, et al. HarmBench: A Standardized Evaluation Framework for Automated Red Teaming and Robust Refusal. arXiv:2402.04249, 2024.</w:t>
      </w:r>
    </w:p>
    <w:p>
      <w:pPr>
        <w:pStyle w:val="Reference"/>
      </w:pPr>
      <w:r>
        <w:t>[2] Chao P, Debenedetti E, Robey A, et al. JailbreakBench: An Open Robustness Benchmark for Jailbreaking Large Language Models. arXiv:2404.01318, 2024.</w:t>
      </w:r>
    </w:p>
    <w:sectPr>
      <w:pgSz w:w="11906" w:h="16838"/>
      <w:pgMar w:top="1440" w:right="1797" w:bottom="1440" w:left="1797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宋体"/>
      <w:sz w:val="24"/>
      <w:szCs w:val="24"/>
    </w:rPr>
  </w:style>
  <w:style w:type="paragraph" w:styleId="ReportTitle">
    <w:name w:val="Report Title"/>
    <w:pPr>
      <w:spacing w:before="0" w:after="0" w:line="360" w:lineRule="auto"/>
      <w:jc w:val="center"/>
    </w:pPr>
    <w:rPr>
      <w:rFonts w:ascii="Times New Roman" w:hAnsi="Times New Roman" w:eastAsia="黑体"/>
      <w:b/>
      <w:bCs/>
      <w:sz w:val="32"/>
      <w:szCs w:val="32"/>
    </w:rPr>
  </w:style>
  <w:style w:type="paragraph" w:styleId="Meta">
    <w:name w:val="Report Meta"/>
    <w:pPr>
      <w:spacing w:before="0" w:after="0" w:line="360" w:lineRule="auto"/>
      <w:jc w:val="center"/>
    </w:pPr>
    <w:rPr>
      <w:rFonts w:ascii="Times New Roman" w:hAnsi="Times New Roman" w:eastAsia="宋体"/>
      <w:sz w:val="24"/>
      <w:szCs w:val="24"/>
    </w:rPr>
  </w:style>
  <w:style w:type="paragraph" w:styleId="Sec1">
    <w:name w:val="Section Level 1"/>
    <w:pPr>
      <w:spacing w:before="120" w:after="40" w:line="360" w:lineRule="auto"/>
      <w:keepNext/>
    </w:pPr>
    <w:rPr>
      <w:rFonts w:ascii="Times New Roman" w:hAnsi="Times New Roman" w:eastAsia="黑体"/>
      <w:b/>
      <w:bCs/>
      <w:sz w:val="28"/>
      <w:szCs w:val="28"/>
    </w:rPr>
  </w:style>
  <w:style w:type="paragraph" w:styleId="Sec2">
    <w:name w:val="Section Level 2"/>
    <w:pPr>
      <w:spacing w:before="80" w:after="20" w:line="360" w:lineRule="auto"/>
      <w:keepNext/>
    </w:pPr>
    <w:rPr>
      <w:rFonts w:ascii="Times New Roman" w:hAnsi="Times New Roman" w:eastAsia="黑体"/>
      <w:b/>
      <w:bCs/>
      <w:sz w:val="24"/>
      <w:szCs w:val="24"/>
    </w:rPr>
  </w:style>
  <w:style w:type="paragraph" w:styleId="Body">
    <w:name w:val="Body"/>
    <w:pPr>
      <w:spacing w:before="0" w:after="0" w:line="360" w:lineRule="auto"/>
      <w:ind w:firstLine="480"/>
      <w:jc w:val="both"/>
    </w:pPr>
    <w:rPr>
      <w:rFonts w:ascii="Times New Roman" w:hAnsi="Times New Roman" w:eastAsia="宋体"/>
      <w:sz w:val="24"/>
      <w:szCs w:val="24"/>
    </w:rPr>
  </w:style>
  <w:style w:type="paragraph" w:styleId="NoIndent">
    <w:name w:val="No Indent"/>
    <w:pPr>
      <w:spacing w:before="0" w:after="0" w:line="360" w:lineRule="auto"/>
      <w:jc w:val="both"/>
    </w:pPr>
    <w:rPr>
      <w:rFonts w:ascii="Times New Roman" w:hAnsi="Times New Roman" w:eastAsia="宋体"/>
      <w:sz w:val="24"/>
      <w:szCs w:val="24"/>
    </w:rPr>
  </w:style>
  <w:style w:type="paragraph" w:styleId="Caption">
    <w:name w:val="Caption"/>
    <w:pPr>
      <w:spacing w:before="0" w:after="0" w:line="300" w:lineRule="auto"/>
      <w:jc w:val="center"/>
    </w:pPr>
    <w:rPr>
      <w:rFonts w:ascii="Times New Roman" w:hAnsi="Times New Roman" w:eastAsia="宋体"/>
      <w:b/>
      <w:bCs/>
      <w:sz w:val="21"/>
      <w:szCs w:val="21"/>
    </w:rPr>
  </w:style>
  <w:style w:type="paragraph" w:styleId="TableText">
    <w:name w:val="Table Text"/>
    <w:pPr>
      <w:spacing w:before="0" w:after="0" w:line="300" w:lineRule="auto"/>
      <w:jc w:val="center"/>
    </w:pPr>
    <w:rPr>
      <w:rFonts w:ascii="Times New Roman" w:hAnsi="Times New Roman" w:eastAsia="宋体"/>
      <w:sz w:val="21"/>
      <w:szCs w:val="21"/>
    </w:rPr>
  </w:style>
  <w:style w:type="paragraph" w:styleId="Reference">
    <w:name w:val="Reference"/>
    <w:pPr>
      <w:spacing w:before="0" w:after="0" w:line="300" w:lineRule="auto"/>
      <w:ind w:hanging="420"/>
    </w:pPr>
    <w:rPr>
      <w:rFonts w:ascii="Times New Roman" w:hAnsi="Times New Roman" w:eastAsia="宋体"/>
      <w:sz w:val="21"/>
      <w:szCs w:val="21"/>
    </w:rPr>
  </w:style>
</w:styles>
</file>