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322"/>
      </w:tblGrid>
      <w:tr w:rsidR="00D75B41" w:rsidTr="00473A17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944432" w:rsidP="00467AEB">
            <w:pPr>
              <w:pStyle w:val="Body"/>
              <w:spacing w:after="0" w:line="240" w:lineRule="auto"/>
            </w:pPr>
            <w:r>
              <w:t>Search For Loans &amp; Grants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32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002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73A17">
        <w:trPr>
          <w:trHeight w:val="19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accesses Home Page</w:t>
            </w:r>
            <w:r w:rsidR="008045F7">
              <w:t xml:space="preserve"> (search page)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Registered User, Public User, SBA API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(registered or public) visits application and provides keywords used to query SBA API for related results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2D2AB5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Loan &amp; Grant Finder shall be capable of completing 50,000 simultaneous requests.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results within three (3) seconds of user submission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provides keyword(s) to input field</w:t>
            </w:r>
          </w:p>
          <w:p w:rsidR="00847EC0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clicks “Submit” button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Loan &amp; Grant (L&amp;G) Finder transmits query to SBA API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returns results to L&amp;G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renders results on “Search Results” page</w:t>
            </w:r>
          </w:p>
        </w:tc>
      </w:tr>
      <w:tr w:rsidR="00D75B41" w:rsidTr="00B86675">
        <w:trPr>
          <w:trHeight w:val="82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306E3">
            <w:pPr>
              <w:pStyle w:val="Body"/>
              <w:spacing w:after="0" w:line="240" w:lineRule="auto"/>
            </w:pPr>
            <w:r>
              <w:t>User (public or registered) is at “Home Page”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“Home Page” returned no errors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User provides value(s) to query</w:t>
            </w:r>
          </w:p>
        </w:tc>
      </w:tr>
      <w:tr w:rsidR="00D75B41" w:rsidTr="00473A17">
        <w:trPr>
          <w:trHeight w:val="52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User is provided list of loans and grants related to queried terms, as provided by SBA API</w:t>
            </w:r>
          </w:p>
        </w:tc>
      </w:tr>
      <w:tr w:rsidR="00D75B41" w:rsidTr="00B86675">
        <w:trPr>
          <w:trHeight w:val="52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failure</w:t>
            </w:r>
          </w:p>
          <w:p w:rsidR="008C00F4" w:rsidRDefault="008C00F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</w:p>
          <w:p w:rsidR="008C00F4" w:rsidRDefault="008C00F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Advanced Search – See 006 – Advanced Search (not created yet)</w:t>
            </w:r>
            <w:bookmarkStart w:id="0" w:name="_GoBack"/>
            <w:bookmarkEnd w:id="0"/>
          </w:p>
        </w:tc>
      </w:tr>
      <w:tr w:rsidR="00D75B41" w:rsidTr="00C668A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4306E3" w:rsidP="00473A17">
            <w:pPr>
              <w:pStyle w:val="Body"/>
              <w:spacing w:after="0" w:line="240" w:lineRule="auto"/>
              <w:ind w:right="-80"/>
            </w:pPr>
            <w:r>
              <w:t>User is prompted to “Try again</w:t>
            </w:r>
            <w:r w:rsidR="00473A17">
              <w:t>”</w:t>
            </w:r>
          </w:p>
        </w:tc>
      </w:tr>
      <w:tr w:rsidR="00D75B41" w:rsidTr="00473A17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D75B41" w:rsidP="00473A17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N/A</w:t>
            </w:r>
          </w:p>
        </w:tc>
      </w:tr>
    </w:tbl>
    <w:p w:rsidR="001204F2" w:rsidRDefault="001204F2" w:rsidP="00473A17"/>
    <w:sectPr w:rsidR="001204F2" w:rsidSect="00473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2AB5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306E3"/>
    <w:rsid w:val="0044061F"/>
    <w:rsid w:val="004603AB"/>
    <w:rsid w:val="004665C3"/>
    <w:rsid w:val="00473A17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45F7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47EC0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0F4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44432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86675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68A2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8</cp:revision>
  <dcterms:created xsi:type="dcterms:W3CDTF">2015-05-31T13:18:00Z</dcterms:created>
  <dcterms:modified xsi:type="dcterms:W3CDTF">2015-05-31T16:00:00Z</dcterms:modified>
</cp:coreProperties>
</file>