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4ea5dfd01da7690cc461178d5e8a5c4d897de66"/>
    <w:p>
      <w:pPr>
        <w:pStyle w:val="Heading1"/>
      </w:pPr>
      <w:r>
        <w:t xml:space="preserve">Which of your rules can actually stop a change, and what is that worth?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things, and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X1b732d1d3257e84056034f1da59433bdc23a5c6"/>
    <w:p>
      <w:pPr>
        <w:pStyle w:val="Heading2"/>
      </w:pPr>
      <w:r>
        <w:t xml:space="preserve">What a pipeline is, and what your team means by CI</w:t>
      </w:r>
    </w:p>
    <w:p>
      <w:pPr>
        <w:pStyle w:val="FirstParagraph"/>
      </w:pPr>
      <w:r>
        <w:t xml:space="preserve">Somebody proposes a change to the shared code. A server automatically runs checks against it. If a</w:t>
      </w:r>
      <w:r>
        <w:t xml:space="preserve"> </w:t>
      </w:r>
      <w:r>
        <w:t xml:space="preserve">check is wired to block, a failure stops the change from joining. That is the whole mechanism. Your</w:t>
      </w:r>
      <w:r>
        <w:t xml:space="preserve"> </w:t>
      </w:r>
      <w:r>
        <w:t xml:space="preserve">team calls this CI -- continuous integration -- or the pipeline, or the build system. Which checks</w:t>
      </w:r>
      <w:r>
        <w:t xml:space="preserve"> </w:t>
      </w:r>
      <w:r>
        <w:t xml:space="preserve">run, and which can stop a change, are separate settings your team chose, not properties of the</w:t>
      </w:r>
      <w:r>
        <w:t xml:space="preserve"> </w:t>
      </w:r>
      <w:r>
        <w:t xml:space="preserve">tooling.</w:t>
      </w:r>
    </w:p>
    <w:p>
      <w:pPr>
        <w:pStyle w:val="BodyText"/>
      </w:pPr>
      <w:r>
        <w:rPr>
          <w:b/>
          <w:bCs/>
        </w:rPr>
        <w:t xml:space="preserve">Two doors, one page.</w:t>
      </w:r>
      <w:r>
        <w:t xml:space="preserve"> </w:t>
      </w:r>
      <w:r>
        <w:t xml:space="preserve">Accountable for security: start at</w:t>
      </w:r>
      <w:r>
        <w:t xml:space="preserve"> </w:t>
      </w:r>
      <w:hyperlink w:anchor="blocking-or-advisory">
        <w:r>
          <w:rPr>
            <w:rStyle w:val="Hyperlink"/>
          </w:rPr>
          <w:t xml:space="preserve">Blocking 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advisory</w:t>
        </w:r>
      </w:hyperlink>
      <w:r>
        <w:t xml:space="preserve">, then</w:t>
      </w:r>
      <w:r>
        <w:t xml:space="preserve"> </w:t>
      </w:r>
      <w:hyperlink w:anchor="X7b2f4b252f5562154f5c7e57e743800b1edbb3c">
        <w:r>
          <w:rPr>
            <w:rStyle w:val="Hyperlink"/>
          </w:rPr>
          <w:t xml:space="preserve">The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buckets</w:t>
        </w:r>
      </w:hyperlink>
      <w:r>
        <w:t xml:space="preserve"> </w:t>
      </w:r>
      <w:r>
        <w:t xml:space="preserve">-- which of your controls are real, and</w:t>
      </w:r>
      <w:r>
        <w:t xml:space="preserve"> </w:t>
      </w:r>
      <w:r>
        <w:t xml:space="preserve">why most were never going to be. Running a development team and justifying the spend: start at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 buys you, and what it costs</w:t>
        </w:r>
      </w:hyperlink>
      <w:r>
        <w:t xml:space="preserve">, where the deciding argument is</w:t>
      </w:r>
      <w:r>
        <w:t xml:space="preserve"> </w:t>
      </w:r>
      <w:r>
        <w:t xml:space="preserve">arithmetic about your headcount, not anybody's research.</w:t>
      </w:r>
    </w:p>
    <w:p>
      <w:r>
        <w:pict>
          <v:rect style="width:0;height:1.5pt" o:hralign="center" o:hrstd="t" o:hr="t"/>
        </w:pict>
      </w:r>
    </w:p>
    <w:bookmarkEnd w:id="12"/>
    <w:bookmarkStart w:id="15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 meaningful</w:t>
      </w:r>
      <w:r>
        <w:t xml:space="preserve"> </w:t>
      </w:r>
      <w:r>
        <w:t xml:space="preserve">share of the code, the change arriving at review has gone up and the hours available to read it</w:t>
      </w:r>
      <w:r>
        <w:t xml:space="preserve"> </w:t>
      </w:r>
      <w:r>
        <w:t xml:space="preserve">have not. That is subtraction about your own headcount, not a research finding. Reviewer attention</w:t>
      </w:r>
      <w:r>
        <w:t xml:space="preserve"> </w:t>
      </w:r>
      <w:r>
        <w:t xml:space="preserve">is the constraint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 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 ICSE 2013</w:t>
      </w:r>
      <w:r>
        <w:t xml:space="preserve"> </w:t>
      </w:r>
      <w:r>
        <w:t xml:space="preserve">-- evidence that attention moves, not that review gets better).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Fixing it before it merges takes fewer steps than fixing it after release -- a claim about</w:t>
      </w:r>
      <w:r>
        <w:rPr>
          <w:b/>
          <w:bCs/>
        </w:rPr>
        <w:t xml:space="preserve"> </w:t>
      </w:r>
      <w:r>
        <w:rPr>
          <w:b/>
          <w:bCs/>
        </w:rPr>
        <w:t xml:space="preserve">steps, not about cost.</w:t>
      </w:r>
      <w:r>
        <w:t xml:space="preserve"> </w:t>
      </w:r>
      <w:r>
        <w:t xml:space="preserve">Caught after release, the same problem costs a release, possibly a</w:t>
      </w:r>
      <w:r>
        <w:t xml:space="preserve"> </w:t>
      </w:r>
      <w:r>
        <w:t xml:space="preserve">rollback, possibly a conversation with people outside your team. That is the entire claim. The</w:t>
      </w:r>
      <w:r>
        <w:t xml:space="preserve"> </w:t>
      </w:r>
      <w:r>
        <w:t xml:space="preserve">ratio you have heard -- ten times, a hundred times -- traces to a study nobody has ever produced,</w:t>
      </w:r>
      <w:r>
        <w:t xml:space="preserve"> </w:t>
      </w:r>
      <w:r>
        <w:t xml:space="preserve">and the largest attempt to 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</w:t>
      </w:r>
      <w:r>
        <w:t xml:space="preserve"> </w:t>
      </w:r>
      <w:r>
        <w:t xml:space="preserve">itself, not the release work around 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the argument to make to your own engineers: the check keeps</w:t>
      </w:r>
      <w:r>
        <w:t xml:space="preserve"> </w:t>
      </w:r>
      <w:r>
        <w:t xml:space="preserve">the deadline from being negotiated out of their work. It holds only as far as the people who can</w:t>
      </w:r>
      <w:r>
        <w:t xml:space="preserve"> </w:t>
      </w:r>
      <w:r>
        <w:t xml:space="preserve">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 to</w:t>
      </w:r>
      <w:r>
        <w:t xml:space="preserve"> </w:t>
      </w:r>
      <w:r>
        <w:t xml:space="preserve">existing code fails on everything it inherits. Run it reporting-only first, then hold only what</w:t>
      </w:r>
      <w:r>
        <w:t xml:space="preserve"> </w:t>
      </w:r>
      <w:r>
        <w:t xml:space="preserve">the change introduced (</w:t>
      </w:r>
      <w:hyperlink r:id="rId13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Code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quality</w:t>
        </w:r>
      </w:hyperlink>
      <w:r>
        <w:t xml:space="preserve">). One large engineering organization got there by measurement: its</w:t>
      </w:r>
      <w:r>
        <w:t xml:space="preserve"> </w:t>
      </w:r>
      <w:r>
        <w:t xml:space="preserve">developers ignored non-blocking warnings, so its policy became to make a check stop the change or</w:t>
      </w:r>
      <w:r>
        <w:t xml:space="preserve"> </w:t>
      </w:r>
      <w:r>
        <w:t xml:space="preserve">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 not a controlled</w:t>
      </w:r>
      <w:r>
        <w:t xml:space="preserve"> </w:t>
      </w:r>
      <w:r>
        <w:t xml:space="preserve">study).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gate that cannot fail is worse than none.</w:t>
      </w:r>
      <w:r>
        <w:t xml:space="preserve"> </w:t>
      </w:r>
      <w:r>
        <w:t xml:space="preserve">It spends the credibility of the real ones.</w:t>
      </w:r>
    </w:p>
    <w:p>
      <w:pPr>
        <w:pStyle w:val="FirstParagraph"/>
      </w:pPr>
      <w:r>
        <w:t xml:space="preserve">Automation does not improve code. It stops things that used to work from quietly stopping, and it</w:t>
      </w:r>
      <w:r>
        <w:t xml:space="preserve"> </w:t>
      </w:r>
      <w:r>
        <w:t xml:space="preserve">redirects human attention off work a machine does better. Only the second is an improvement in</w:t>
      </w:r>
      <w:r>
        <w:t xml:space="preserve"> </w:t>
      </w:r>
      <w:r>
        <w:t xml:space="preserve">anyone's judgment.</w:t>
      </w:r>
    </w:p>
    <w:p>
      <w:pPr>
        <w:pStyle w:val="BodyText"/>
      </w:pPr>
      <w:r>
        <w:t xml:space="preserve">What you are buying is narrow and real: a class of failure that stops recurring without anyone</w:t>
      </w:r>
      <w:r>
        <w:t xml:space="preserve"> </w:t>
      </w:r>
      <w:r>
        <w:t xml:space="preserve">remembering to look for it, and reviewer hours moved onto judgment only people can do. Fund it on</w:t>
      </w:r>
      <w:r>
        <w:t xml:space="preserve"> </w:t>
      </w:r>
      <w:r>
        <w:t xml:space="preserve">those two.</w:t>
      </w:r>
    </w:p>
    <w:p>
      <w:r>
        <w:pict>
          <v:rect style="width:0;height:1.5pt" o:hralign="center" o:hrstd="t" o:hr="t"/>
        </w:pict>
      </w:r>
    </w:p>
    <w:bookmarkEnd w:id="15"/>
    <w:bookmarkStart w:id="18" w:name="blocking-or-advisory"/>
    <w:p>
      <w:pPr>
        <w:pStyle w:val="Heading2"/>
      </w:pPr>
      <w:r>
        <w:t xml:space="preserve">Blocking or advisory</w:t>
      </w:r>
    </w:p>
    <w:p>
      <w:pPr>
        <w:pStyle w:val="FirstParagraph"/>
      </w:pPr>
      <w:r>
        <w:t xml:space="preserve">One question separates a control from a report: does failing it stop the change?</w:t>
      </w:r>
    </w:p>
    <w:p>
      <w:pPr>
        <w:pStyle w:val="BodyText"/>
      </w:pPr>
      <w:r>
        <w:t xml:space="preserve">A long tool inventory reads as security posture, but advisory and scheduled-only jobs never turn a</w:t>
      </w:r>
      <w:r>
        <w:t xml:space="preserve"> </w:t>
      </w:r>
      <w:r>
        <w:t xml:space="preserve">proposed change red. Counting them as coverage inflates the number without adding a gate -- and</w:t>
      </w:r>
      <w:r>
        <w:t xml:space="preserve"> </w:t>
      </w:r>
      <w:r>
        <w:rPr>
          <w:b/>
          <w:bCs/>
        </w:rPr>
        <w:t xml:space="preserve">nobody investigates a green check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).</w:t>
      </w:r>
    </w:p>
    <w:p>
      <w:pPr>
        <w:pStyle w:val="BodyText"/>
      </w:pPr>
      <w:r>
        <w:t xml:space="preserve">A run that examined nothing certifies nothing -- the difference between "found nothing" and "looked</w:t>
      </w:r>
      <w:r>
        <w:t xml:space="preserve"> </w:t>
      </w:r>
      <w:r>
        <w:t xml:space="preserve">at nothing".</w:t>
      </w:r>
    </w:p>
    <w:p>
      <w:pPr>
        <w:pStyle w:val="BlockText"/>
      </w:pPr>
      <w:r>
        <w:rPr>
          <w:b/>
          <w:bCs/>
        </w:rPr>
        <w:t xml:space="preserve">A green gate is evidence only if you have proved it can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see</w:t>
      </w:r>
      <w:r>
        <w:rPr>
          <w:b/>
          <w:bCs/>
        </w:rPr>
        <w:t xml:space="preserve"> </w:t>
      </w:r>
      <w:r>
        <w:rPr>
          <w:b/>
          <w:bCs/>
        </w:rPr>
        <w:t xml:space="preserve">that class.</w:t>
      </w:r>
    </w:p>
    <w:p>
      <w:pPr>
        <w:pStyle w:val="FirstParagraph"/>
      </w:pPr>
      <w:r>
        <w:t xml:space="preserve">--</w:t>
      </w:r>
      <w:r>
        <w:t xml:space="preserve"> </w:t>
      </w:r>
      <w:hyperlink r:id="rId17">
        <w:r>
          <w:rPr>
            <w:rStyle w:val="Hyperlink"/>
          </w:rPr>
          <w:t xml:space="preserve">the leak gate</w:t>
        </w:r>
      </w:hyperlink>
      <w:r>
        <w:t xml:space="preserve">. Plant a violation. Watch it fail.</w:t>
      </w:r>
      <w:r>
        <w:t xml:space="preserve"> </w:t>
      </w:r>
      <w:r>
        <w:t xml:space="preserve">Then trust the pass.</w:t>
      </w:r>
    </w:p>
    <w:p>
      <w:r>
        <w:pict>
          <v:rect style="width:0;height:1.5pt" o:hralign="center" o:hrstd="t" o:hr="t"/>
        </w:pict>
      </w:r>
    </w:p>
    <w:bookmarkEnd w:id="18"/>
    <w:bookmarkStart w:id="19" w:name="X7b2f4b252f5562154f5c7e57e743800b1edbb3c"/>
    <w:p>
      <w:pPr>
        <w:pStyle w:val="Heading2"/>
      </w:pPr>
      <w:r>
        <w:t xml:space="preserve">The three buckets, and the rule that sorts them</w:t>
      </w:r>
    </w:p>
    <w:p>
      <w:pPr>
        <w:pStyle w:val="FirstParagraph"/>
      </w:pPr>
      <w:r>
        <w:t xml:space="preserve">The rule is two questions, in order. Can a machine decide this without judgment? If no, it is</w:t>
      </w:r>
      <w:r>
        <w:t xml:space="preserve"> </w:t>
      </w:r>
      <w:r>
        <w:t xml:space="preserve">bucket 3, and nothing you configure will move it. Is the check wired so that a failure stops the</w:t>
      </w:r>
      <w:r>
        <w:t xml:space="preserve"> </w:t>
      </w:r>
      <w:r>
        <w:t xml:space="preserve">change? If no, it is bucket 2, whatever the tool is technically capable of.</w:t>
      </w:r>
    </w:p>
    <w:p>
      <w:pPr>
        <w:pStyle w:val="BodyText"/>
      </w:pPr>
      <w:r>
        <w:rPr>
          <w:b/>
          <w:bCs/>
        </w:rPr>
        <w:t xml:space="preserve">Bucket 1</w:t>
      </w:r>
      <w:r>
        <w:t xml:space="preserve"> </w:t>
      </w:r>
      <w:r>
        <w:t xml:space="preserve">is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</w:t>
      </w:r>
      <w:r>
        <w:t xml:space="preserve"> </w:t>
      </w:r>
      <w:r>
        <w:t xml:space="preserve">could decide, wired so that nothing stops.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 Which bucket a</w:t>
      </w:r>
      <w:r>
        <w:t xml:space="preserve"> </w:t>
      </w:r>
      <w:r>
        <w:t xml:space="preserve">control lands in is a fact about your configuration, not only about the control -- and that gap is</w:t>
      </w:r>
      <w:r>
        <w:t xml:space="preserve"> </w:t>
      </w:r>
      <w:r>
        <w:t xml:space="preserve">the theater to detect and the spend to recover.</w:t>
      </w:r>
    </w:p>
    <w:p>
      <w:pPr>
        <w:pStyle w:val="BodyText"/>
      </w:pPr>
      <w:r>
        <w:t xml:space="preserve">Existence and substance are different things. Requiring an approval is a real, blocking,</w:t>
      </w:r>
      <w:r>
        <w:t xml:space="preserve"> </w:t>
      </w:r>
      <w:r>
        <w:t xml:space="preserve">machine-enforced check, and all it establishes is that somebody clicked a button. Whether anyone</w:t>
      </w:r>
      <w:r>
        <w:t xml:space="preserve"> </w:t>
      </w:r>
      <w:r>
        <w:t xml:space="preserve">read anything is bucket 3. At least fifteen controls here have that shape, and the green check on</w:t>
      </w:r>
      <w:r>
        <w:t xml:space="preserve"> </w:t>
      </w:r>
      <w:r>
        <w:t xml:space="preserve">the shape is what stops the substance being examined.</w:t>
      </w:r>
    </w:p>
    <w:p>
      <w:pPr>
        <w:pStyle w:val="BodyText"/>
      </w:pPr>
      <w:r>
        <w:t xml:space="preserve">Nor is bucket 1 therefore handled: a secret scan is mechanical only once a person has defined what</w:t>
      </w:r>
      <w:r>
        <w:t xml:space="preserve"> </w:t>
      </w:r>
      <w:r>
        <w:t xml:space="preserve">counts as sensitive, and its green says nothing about that definition being right.</w:t>
      </w:r>
    </w:p>
    <w:p>
      <w:pPr>
        <w:pStyle w:val="BodyText"/>
      </w:pPr>
      <w:r>
        <w:t xml:space="preserve">What lands in bucket 3 needs people or governance instead, which makes it a funding decision rather</w:t>
      </w:r>
      <w:r>
        <w:t xml:space="preserve"> </w:t>
      </w:r>
      <w:r>
        <w:t xml:space="preserve">than a tooling decision. The long form of that list is in</w:t>
      </w:r>
      <w:r>
        <w:t xml:space="preserve"> </w:t>
      </w:r>
      <w:hyperlink r:id="rId13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A scanner cannot see a policy judgment.</w:t>
      </w:r>
    </w:p>
    <w:p>
      <w:r>
        <w:pict>
          <v:rect style="width:0;height:1.5pt" o:hralign="center" o:hrstd="t" o:hr="t"/>
        </w:pict>
      </w:r>
    </w:p>
    <w:bookmarkEnd w:id="19"/>
    <w:bookmarkStart w:id="20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rule above -- an example of</w:t>
      </w:r>
      <w:r>
        <w:t xml:space="preserve"> </w:t>
      </w:r>
      <w:r>
        <w:t xml:space="preserve">the sorting, not an inventory -- roughly five in six describe something that would not stop a</w:t>
      </w:r>
      <w:r>
        <w:t xml:space="preserve"> </w:t>
      </w:r>
      <w:r>
        <w:t xml:space="preserve">change: 96 need judgment that no configuration will move, and 30 describe work a machine could</w:t>
      </w:r>
      <w:r>
        <w:t xml:space="preserve"> </w:t>
      </w:r>
      <w:r>
        <w:t xml:space="preserve">decide but that nothing here requires anyone to wire to a block. Twenty-four are described as</w:t>
      </w:r>
      <w:r>
        <w:t xml:space="preserve"> </w:t>
      </w:r>
      <w:r>
        <w:t xml:space="preserve">stopping the change. Where each of yours lands is your configuration's answer, not this page's.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half-measure: writing component fingerprints into a file, and</w:t>
      </w:r>
      <w:r>
        <w:t xml:space="preserve"> </w:t>
      </w:r>
      <w:r>
        <w:t xml:space="preserve">making the installer refuse anything that does not match, are the same control one setting apart.</w:t>
      </w:r>
      <w:r>
        <w:t xml:space="preserve"> </w:t>
      </w:r>
      <w:r>
        <w:t xml:space="preserve">Only one stops anything.</w:t>
      </w:r>
    </w:p>
    <w:p>
      <w:pPr>
        <w:pStyle w:val="BodyText"/>
      </w:pPr>
      <w:r>
        <w:t xml:space="preserve">The sorting is the point, not the number. Take your own list, ask the two questions of each, and</w:t>
      </w:r>
      <w:r>
        <w:t xml:space="preserve"> </w:t>
      </w:r>
      <w:r>
        <w:t xml:space="preserve">count -- an afternoon's work, and the answer is about your team.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20"/>
    <w:bookmarkStart w:id="22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serve both chairs. If you are not accountable for the team, you are</w:t>
      </w:r>
      <w:r>
        <w:t xml:space="preserve"> </w:t>
      </w:r>
      <w:r>
        <w:t xml:space="preserve">interrogating; if you are, you are diagnosing. The bad-answer column is the trap list.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1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2"/>
    <w:bookmarkStart w:id="23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6" Target="../CI-AND-STANDARDS.md#blocking-and-advisory-are-not-the-same-coverage" TargetMode="External" /><Relationship Type="http://schemas.openxmlformats.org/officeDocument/2006/relationships/hyperlink" Id="rId17" Target="../LEAK-GATE.md#the-caveat-that-matters-most" TargetMode="External" /><Relationship Type="http://schemas.openxmlformats.org/officeDocument/2006/relationships/hyperlink" Id="rId13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4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6" Target="../CI-AND-STANDARDS.md#blocking-and-advisory-are-not-the-same-coverage" TargetMode="External" /><Relationship Type="http://schemas.openxmlformats.org/officeDocument/2006/relationships/hyperlink" Id="rId17" Target="../LEAK-GATE.md#the-caveat-that-matters-most" TargetMode="External" /><Relationship Type="http://schemas.openxmlformats.org/officeDocument/2006/relationships/hyperlink" Id="rId13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4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2026-08-06T16:15:40Z</dcterms:created>
  <dcterms:modified xsi:type="dcterms:W3CDTF">2026-08-06T16:15:40Z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