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4" w:name="X22dea6421227186263cd6f68b1cc06e555c4395"/>
    <w:p>
      <w:pPr>
        <w:pStyle w:val="Heading1"/>
      </w:pPr>
      <w:r>
        <w:t xml:space="preserve">Secure development: a starting point for your own standard</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tldrbluf"/>
    <w:p>
      <w:pPr>
        <w:pStyle w:val="Heading2"/>
      </w:pPr>
      <w:r>
        <w:t xml:space="preserve">TLDR/BLUF</w:t>
      </w:r>
    </w:p>
    <w:p>
      <w:pPr>
        <w:pStyle w:val="FirstParagraph"/>
      </w:pPr>
      <w:r>
        <w:t xml:space="preserve">This is a starting point for your own secure development standard, not a standard to comply with</w:t>
      </w:r>
      <w:r>
        <w:t xml:space="preserve"> </w:t>
      </w:r>
      <w:r>
        <w:t xml:space="preserve">and not a compliance attestation: copy it, cut what your project does not have, and publish the</w:t>
      </w:r>
      <w:r>
        <w:t xml:space="preserve"> </w:t>
      </w:r>
      <w:r>
        <w:t xml:space="preserve">result under your own name.</w:t>
      </w:r>
    </w:p>
    <w:p>
      <w:pPr>
        <w:pStyle w:val="Compact"/>
        <w:numPr>
          <w:ilvl w:val="0"/>
          <w:numId w:val="1001"/>
        </w:numPr>
      </w:pPr>
      <w:r>
        <w:rPr>
          <w:b/>
          <w:bCs/>
        </w:rPr>
        <w:t xml:space="preserve">What it demands.</w:t>
      </w:r>
      <w:r>
        <w:t xml:space="preserve"> </w:t>
      </w:r>
      <w:r>
        <w:t xml:space="preserve">A named set of checks that blocks every change and cannot be waived by an</w:t>
      </w:r>
      <w:r>
        <w:t xml:space="preserve"> </w:t>
      </w:r>
      <w:r>
        <w:t xml:space="preserve">author, a written threat model per trust boundary reviewed before the code exists, and every</w:t>
      </w:r>
      <w:r>
        <w:t xml:space="preserve"> </w:t>
      </w:r>
      <w:r>
        <w:t xml:space="preserve">requirement you cannot meet written down, dated, signed, and carrying the event that ends it. A</w:t>
      </w:r>
      <w:r>
        <w:t xml:space="preserve"> </w:t>
      </w:r>
      <w:r>
        <w:t xml:space="preserve">verdict is the composite of</w:t>
      </w:r>
      <w:r>
        <w:t xml:space="preserve"> </w:t>
      </w:r>
      <w:hyperlink w:anchor="X72e8a7b0eb017be1b6be4ce9a7aa4c29f34647f">
        <w:r>
          <w:rPr>
            <w:rStyle w:val="Hyperlink"/>
          </w:rPr>
          <w:t xml:space="preserve">two layers</w:t>
        </w:r>
      </w:hyperlink>
      <w:r>
        <w:t xml:space="preserve">, never one row of</w:t>
      </w:r>
      <w:r>
        <w:t xml:space="preserve"> </w:t>
      </w:r>
      <w:r>
        <w:t xml:space="preserve">either -- no green pipeline is a verdict.</w:t>
      </w:r>
    </w:p>
    <w:p>
      <w:pPr>
        <w:pStyle w:val="Compact"/>
        <w:numPr>
          <w:ilvl w:val="0"/>
          <w:numId w:val="1001"/>
        </w:numPr>
      </w:pPr>
      <w:r>
        <w:rPr>
          <w:b/>
          <w:bCs/>
        </w:rPr>
        <w:t xml:space="preserve">What it costs.</w:t>
      </w:r>
      <w:r>
        <w:t xml:space="preserve"> </w:t>
      </w:r>
      <w:r>
        <w:t xml:space="preserve">Calendar time where automation does not reach. Controls you must not claim</w:t>
      </w:r>
      <w:r>
        <w:t xml:space="preserve"> </w:t>
      </w:r>
      <w:r>
        <w:t xml:space="preserve">because you do not own them -- the strongest tamper controls belong to whoever runs the software.</w:t>
      </w:r>
      <w:r>
        <w:t xml:space="preserve"> </w:t>
      </w:r>
      <w:r>
        <w:t xml:space="preserve">And two gaps an internally-run pipeline cannot substitute for: third-party source review and</w:t>
      </w:r>
      <w:r>
        <w:t xml:space="preserve"> </w:t>
      </w:r>
      <w:hyperlink w:anchor="X635127d1d4d4de93cff91f98240bebbfa4bd556">
        <w:r>
          <w:rPr>
            <w:rStyle w:val="Hyperlink"/>
          </w:rPr>
          <w:t xml:space="preserve">penetration testing</w:t>
        </w:r>
      </w:hyperlink>
      <w:r>
        <w:t xml:space="preserve">. No code ships with this -- no</w:t>
      </w:r>
      <w:r>
        <w:t xml:space="preserve"> </w:t>
      </w:r>
      <w:r>
        <w:t xml:space="preserve">workflow, no scanner configuration, no template.</w:t>
      </w:r>
    </w:p>
    <w:p>
      <w:pPr>
        <w:pStyle w:val="Compact"/>
        <w:numPr>
          <w:ilvl w:val="0"/>
          <w:numId w:val="1001"/>
        </w:numPr>
      </w:pPr>
      <w:r>
        <w:rPr>
          <w:b/>
          <w:bCs/>
        </w:rPr>
        <w:t xml:space="preserve">Where it does not apply.</w:t>
      </w:r>
      <w:r>
        <w:t xml:space="preserve"> </w:t>
      </w:r>
      <w:r>
        <w:t xml:space="preserve">Throwaway work nobody installs, and anything you operate rather than</w:t>
      </w:r>
      <w:r>
        <w:t xml:space="preserve"> </w:t>
      </w:r>
      <w:r>
        <w:t xml:space="preserve">produce. Building to this confers nothing on the product, on you, or on an adopter, and it does</w:t>
      </w:r>
      <w:r>
        <w:t xml:space="preserve"> </w:t>
      </w:r>
      <w:r>
        <w:t xml:space="preserve">not substitute for an adopting organization's own assessment.</w:t>
      </w:r>
    </w:p>
    <w:p>
      <w:pPr>
        <w:pStyle w:val="Compact"/>
        <w:numPr>
          <w:ilvl w:val="0"/>
          <w:numId w:val="1001"/>
        </w:numPr>
      </w:pPr>
      <w:r>
        <w:rPr>
          <w:b/>
          <w:bCs/>
        </w:rPr>
        <w:t xml:space="preserve">Where to start.</w:t>
      </w:r>
      <w:r>
        <w:t xml:space="preserve"> </w:t>
      </w:r>
      <w:r>
        <w:t xml:space="preserve">The ownership split in</w:t>
      </w:r>
      <w:r>
        <w:t xml:space="preserve"> </w:t>
      </w:r>
      <w:hyperlink w:anchor="Xf8794b0126bc78285fb10778097a0695650e57d">
        <w:r>
          <w:rPr>
            <w:rStyle w:val="Hyperlink"/>
          </w:rPr>
          <w:t xml:space="preserve">section 1</w:t>
        </w:r>
      </w:hyperlink>
      <w:r>
        <w:t xml:space="preserve">, then the data-class table under</w:t>
      </w:r>
      <w:r>
        <w:t xml:space="preserve"> </w:t>
      </w:r>
      <w:r>
        <w:t xml:space="preserve">it.</w:t>
      </w:r>
      <w:r>
        <w:t xml:space="preserve"> </w:t>
      </w:r>
      <w:hyperlink w:anchor="adapting-this-to-your-project">
        <w:r>
          <w:rPr>
            <w:rStyle w:val="Hyperlink"/>
          </w:rPr>
          <w:t xml:space="preserve">Adapting this to your project</w:t>
        </w:r>
      </w:hyperlink>
      <w:r>
        <w:t xml:space="preserve"> </w:t>
      </w:r>
      <w:r>
        <w:t xml:space="preserve">says what you may change</w:t>
      </w:r>
      <w:r>
        <w:t xml:space="preserve"> </w:t>
      </w:r>
      <w:r>
        <w:t xml:space="preserve">freely and the shorter list that stops being a control the moment you weaken it;</w:t>
      </w:r>
      <w:r>
        <w:t xml:space="preserve"> </w:t>
      </w:r>
      <w:hyperlink w:anchor="how-to-adopt-this">
        <w:r>
          <w:rPr>
            <w:rStyle w:val="Hyperlink"/>
          </w:rPr>
          <w:t xml:space="preserve">How to adopt this</w:t>
        </w:r>
      </w:hyperlink>
      <w:r>
        <w:t xml:space="preserve"> </w:t>
      </w:r>
      <w:r>
        <w:t xml:space="preserve">sets the order, and</w:t>
      </w:r>
      <w:r>
        <w:t xml:space="preserve"> </w:t>
      </w:r>
      <w:hyperlink w:anchor="in-one-table">
        <w:r>
          <w:rPr>
            <w:rStyle w:val="Hyperlink"/>
          </w:rPr>
          <w:t xml:space="preserve">In one table</w:t>
        </w:r>
      </w:hyperlink>
      <w:r>
        <w:t xml:space="preserve"> </w:t>
      </w:r>
      <w:r>
        <w:t xml:space="preserve">is the</w:t>
      </w:r>
      <w:r>
        <w:t xml:space="preserve"> </w:t>
      </w:r>
      <w:r>
        <w:t xml:space="preserve">summary.</w:t>
      </w:r>
    </w:p>
    <w:p>
      <w:r>
        <w:pict>
          <v:rect style="width:0;height:1.5pt" o:hralign="center" o:hrstd="t" o:hr="t"/>
        </w:pict>
      </w:r>
    </w:p>
    <w:bookmarkEnd w:id="12"/>
    <w:bookmarkStart w:id="13" w:name="how-to-adopt-this"/>
    <w:p>
      <w:pPr>
        <w:pStyle w:val="Heading2"/>
      </w:pPr>
      <w:r>
        <w:t xml:space="preserve">How to adopt this</w:t>
      </w:r>
    </w:p>
    <w:p>
      <w:pPr>
        <w:pStyle w:val="FirstParagraph"/>
      </w:pPr>
      <w:r>
        <w:t xml:space="preserve">Start with the ownership split</w:t>
      </w:r>
      <w:r>
        <w:t xml:space="preserve"> </w:t>
      </w:r>
      <w:r>
        <w:t xml:space="preserve">(</w:t>
      </w:r>
      <w:hyperlink w:anchor="Xf8794b0126bc78285fb10778097a0695650e57d">
        <w:r>
          <w:rPr>
            <w:rStyle w:val="Hyperlink"/>
          </w:rPr>
          <w:t xml:space="preserve">section 1</w:t>
        </w:r>
      </w:hyperlink>
      <w:r>
        <w:t xml:space="preserve">). One table, one sitting. It is</w:t>
      </w:r>
      <w:r>
        <w:t xml:space="preserve"> </w:t>
      </w:r>
      <w:r>
        <w:t xml:space="preserve">the artifact that makes every later claim scopeable, and most of the arguments it prevents are</w:t>
      </w:r>
      <w:r>
        <w:t xml:space="preserve"> </w:t>
      </w:r>
      <w:r>
        <w:t xml:space="preserve">arguments about who was supposed to do something.</w:t>
      </w:r>
    </w:p>
    <w:p>
      <w:pPr>
        <w:pStyle w:val="BodyText"/>
      </w:pPr>
      <w:r>
        <w:t xml:space="preserve">Then work in this order:</w:t>
      </w:r>
    </w:p>
    <w:p>
      <w:pPr>
        <w:pStyle w:val="Compact"/>
        <w:numPr>
          <w:ilvl w:val="0"/>
          <w:numId w:val="1002"/>
        </w:numPr>
      </w:pPr>
      <w:r>
        <w:t xml:space="preserve">Ownership split, then the data-class table.</w:t>
      </w:r>
      <w:r>
        <w:t xml:space="preserve"> </w:t>
      </w:r>
      <w:hyperlink w:anchor="Xf8794b0126bc78285fb10778097a0695650e57d">
        <w:r>
          <w:rPr>
            <w:rStyle w:val="Hyperlink"/>
          </w:rPr>
          <w:t xml:space="preserve">Section 1</w:t>
        </w:r>
      </w:hyperlink>
      <w:r>
        <w:t xml:space="preserve">. The second is another table and</w:t>
      </w:r>
      <w:r>
        <w:t xml:space="preserve"> </w:t>
      </w:r>
      <w:r>
        <w:t xml:space="preserve">another sitting, and it is what makes every later rule that says "restricted data" mean something</w:t>
      </w:r>
      <w:r>
        <w:t xml:space="preserve"> </w:t>
      </w:r>
      <w:r>
        <w:t xml:space="preserve">specific.</w:t>
      </w:r>
    </w:p>
    <w:p>
      <w:pPr>
        <w:pStyle w:val="Compact"/>
        <w:numPr>
          <w:ilvl w:val="0"/>
          <w:numId w:val="1002"/>
        </w:numPr>
      </w:pPr>
      <w:r>
        <w:t xml:space="preserve">Threat model one trust boundary -- the riskiest, not all of them.</w:t>
      </w:r>
      <w:r>
        <w:t xml:space="preserve"> </w:t>
      </w:r>
      <w:hyperlink w:anchor="Xac02c7d32d5bb277c9e44f3436addfe1b1747df">
        <w:r>
          <w:rPr>
            <w:rStyle w:val="Hyperlink"/>
          </w:rPr>
          <w:t xml:space="preserve">Section 2</w:t>
        </w:r>
      </w:hyperlink>
      <w:r>
        <w:t xml:space="preserve">. A single worked</w:t>
      </w:r>
      <w:r>
        <w:t xml:space="preserve"> </w:t>
      </w:r>
      <w:r>
        <w:t xml:space="preserve">boundary teaches the format better than a sweep does.</w:t>
      </w:r>
    </w:p>
    <w:p>
      <w:pPr>
        <w:pStyle w:val="Compact"/>
        <w:numPr>
          <w:ilvl w:val="0"/>
          <w:numId w:val="1002"/>
        </w:numPr>
      </w:pPr>
      <w:r>
        <w:t xml:space="preserve">Make the scanner posture honest.</w:t>
      </w:r>
      <w:r>
        <w:t xml:space="preserve"> </w:t>
      </w:r>
      <w:hyperlink w:anchor="Xa04daca1c49463ed52ff2475309af2fe8799704">
        <w:r>
          <w:rPr>
            <w:rStyle w:val="Hyperlink"/>
          </w:rPr>
          <w:t xml:space="preserve">Section 5</w:t>
        </w:r>
      </w:hyperlink>
      <w:r>
        <w:t xml:space="preserve">. Classify every</w:t>
      </w:r>
      <w:r>
        <w:t xml:space="preserve"> </w:t>
      </w:r>
      <w:r>
        <w:t xml:space="preserve">nominally-security job as blocking or advisory before adding any new one. This usually reveals</w:t>
      </w:r>
      <w:r>
        <w:t xml:space="preserve"> </w:t>
      </w:r>
      <w:r>
        <w:t xml:space="preserve">that coverage is narrower than the tool list suggested, at zero engineering cost.</w:t>
      </w:r>
    </w:p>
    <w:p>
      <w:pPr>
        <w:pStyle w:val="Compact"/>
        <w:numPr>
          <w:ilvl w:val="0"/>
          <w:numId w:val="1002"/>
        </w:numPr>
      </w:pPr>
      <w:r>
        <w:t xml:space="preserve">Write the deviations register.</w:t>
      </w:r>
      <w:r>
        <w:t xml:space="preserve"> </w:t>
      </w:r>
      <w:hyperlink w:anchor="X2e76d4b347a06a9540373165195f11ae36f497b">
        <w:r>
          <w:rPr>
            <w:rStyle w:val="Hyperlink"/>
          </w:rPr>
          <w:t xml:space="preserve">Section 13</w:t>
        </w:r>
      </w:hyperlink>
      <w:r>
        <w:t xml:space="preserve">. Start with what</w:t>
      </w:r>
      <w:r>
        <w:t xml:space="preserve"> </w:t>
      </w:r>
      <w:r>
        <w:t xml:space="preserve">you cannot do today. A register written while you are still honest about the gaps is worth more</w:t>
      </w:r>
      <w:r>
        <w:t xml:space="preserve"> </w:t>
      </w:r>
      <w:r>
        <w:t xml:space="preserve">than one written at review time.</w:t>
      </w:r>
    </w:p>
    <w:p>
      <w:pPr>
        <w:pStyle w:val="Compact"/>
        <w:numPr>
          <w:ilvl w:val="0"/>
          <w:numId w:val="1002"/>
        </w:numPr>
      </w:pPr>
      <w:r>
        <w:t xml:space="preserve">Build and release integrity.</w:t>
      </w:r>
      <w:r>
        <w:t xml:space="preserve"> </w:t>
      </w:r>
      <w:hyperlink w:anchor="X48eebdbfd8d38cb086e115614d17c7297664944">
        <w:r>
          <w:rPr>
            <w:rStyle w:val="Hyperlink"/>
          </w:rPr>
          <w:t xml:space="preserve">Section 10</w:t>
        </w:r>
      </w:hyperlink>
      <w:r>
        <w:t xml:space="preserve">. Short-lived</w:t>
      </w:r>
      <w:r>
        <w:t xml:space="preserve"> </w:t>
      </w:r>
      <w:r>
        <w:t xml:space="preserve">publishing credentials, an attestation over the artifact digest, and a published digest manifest</w:t>
      </w:r>
      <w:r>
        <w:t xml:space="preserve"> </w:t>
      </w:r>
      <w:r>
        <w:t xml:space="preserve">cover most of what an adopter needs.</w:t>
      </w:r>
    </w:p>
    <w:p>
      <w:pPr>
        <w:pStyle w:val="Compact"/>
        <w:numPr>
          <w:ilvl w:val="0"/>
          <w:numId w:val="1002"/>
        </w:numPr>
      </w:pPr>
      <w:r>
        <w:t xml:space="preserve">The release gate.</w:t>
      </w:r>
      <w:r>
        <w:t xml:space="preserve"> </w:t>
      </w:r>
      <w:hyperlink w:anchor="X166d910d570b75bb8e35866cbb9a8eb190f1767">
        <w:r>
          <w:rPr>
            <w:rStyle w:val="Hyperlink"/>
          </w:rPr>
          <w:t xml:space="preserve">Section 16</w:t>
        </w:r>
      </w:hyperlink>
      <w:r>
        <w:t xml:space="preserve">. Now that you know which checks block, the</w:t>
      </w:r>
      <w:r>
        <w:t xml:space="preserve"> </w:t>
      </w:r>
      <w:r>
        <w:t xml:space="preserve">gate can be written as a list rather than a judgment.</w:t>
      </w:r>
    </w:p>
    <w:p>
      <w:pPr>
        <w:pStyle w:val="Compact"/>
        <w:numPr>
          <w:ilvl w:val="0"/>
          <w:numId w:val="1002"/>
        </w:numPr>
      </w:pPr>
      <w:r>
        <w:t xml:space="preserve">Rehearse vulnerability response.</w:t>
      </w:r>
      <w:r>
        <w:t xml:space="preserve"> </w:t>
      </w:r>
      <w:hyperlink w:anchor="Xc32b009c31e5f6409196a95ed4c1406da6dc82b">
        <w:r>
          <w:rPr>
            <w:rStyle w:val="Hyperlink"/>
          </w:rPr>
          <w:t xml:space="preserve">Section 12</w:t>
        </w:r>
      </w:hyperlink>
      <w:r>
        <w:t xml:space="preserve">. A dry run</w:t>
      </w:r>
      <w:r>
        <w:t xml:space="preserve"> </w:t>
      </w:r>
      <w:r>
        <w:t xml:space="preserve">finds the broken intake channel before a real reporter does.</w:t>
      </w:r>
    </w:p>
    <w:p>
      <w:pPr>
        <w:pStyle w:val="Compact"/>
        <w:numPr>
          <w:ilvl w:val="0"/>
          <w:numId w:val="1002"/>
        </w:numPr>
      </w:pPr>
      <w:r>
        <w:t xml:space="preserve">Set the re-evaluation cadence.</w:t>
      </w:r>
      <w:r>
        <w:t xml:space="preserve"> </w:t>
      </w:r>
      <w:hyperlink w:anchor="X81f17fbbfa4ed8bd23a7201a27e52cc85d71859">
        <w:r>
          <w:rPr>
            <w:rStyle w:val="Hyperlink"/>
          </w:rPr>
          <w:t xml:space="preserve">Section 14</w:t>
        </w:r>
      </w:hyperlink>
      <w:r>
        <w:t xml:space="preserve">. Four</w:t>
      </w:r>
      <w:r>
        <w:t xml:space="preserve"> </w:t>
      </w:r>
      <w:r>
        <w:t xml:space="preserve">items, a stated cadence, a dated entry per pass, and the event trigger that sends you back to</w:t>
      </w:r>
      <w:r>
        <w:t xml:space="preserve"> </w:t>
      </w:r>
      <w:r>
        <w:t xml:space="preserve">step 1's table. It is what catches a control that degraded during a stretch where nothing</w:t>
      </w:r>
      <w:r>
        <w:t xml:space="preserve"> </w:t>
      </w:r>
      <w:r>
        <w:t xml:space="preserve">shipped.</w:t>
      </w:r>
    </w:p>
    <w:p>
      <w:pPr>
        <w:pStyle w:val="Compact"/>
        <w:numPr>
          <w:ilvl w:val="0"/>
          <w:numId w:val="1002"/>
        </w:numPr>
      </w:pPr>
      <w:r>
        <w:t xml:space="preserve">The remaining sections as they become relevant to what you build.</w:t>
      </w:r>
    </w:p>
    <w:p>
      <w:r>
        <w:pict>
          <v:rect style="width:0;height:1.5pt" o:hralign="center" o:hrstd="t" o:hr="t"/>
        </w:pict>
      </w:r>
    </w:p>
    <w:bookmarkEnd w:id="13"/>
    <w:bookmarkStart w:id="14" w:name="X72e8a7b0eb017be1b6be4ce9a7aa4c29f34647f"/>
    <w:p>
      <w:pPr>
        <w:pStyle w:val="Heading2"/>
      </w:pPr>
      <w:r>
        <w:t xml:space="preserve">The shape: two layers, and the second is where the defects are</w:t>
      </w:r>
    </w:p>
    <w:p>
      <w:pPr>
        <w:pStyle w:val="FirstParagraph"/>
      </w:pPr>
      <w:r>
        <w:t xml:space="preserve">The machine-enforced layer is blocking analysis and secret-scan gates, secure coding practice,</w:t>
      </w:r>
      <w:r>
        <w:t xml:space="preserve"> </w:t>
      </w:r>
      <w:r>
        <w:t xml:space="preserve">dependency and supply-chain integrity, secrets hygiene, secure-by-default configuration,</w:t>
      </w:r>
      <w:r>
        <w:t xml:space="preserve"> </w:t>
      </w:r>
      <w:r>
        <w:t xml:space="preserve">machine-to-machine authentication, and tamper-evident audit logging. It is hard to fake, because its</w:t>
      </w:r>
      <w:r>
        <w:t xml:space="preserve"> </w:t>
      </w:r>
      <w:r>
        <w:t xml:space="preserve">evidence is a red or green pipeline leg rather than a claim.</w:t>
      </w:r>
    </w:p>
    <w:p>
      <w:pPr>
        <w:pStyle w:val="BodyText"/>
      </w:pPr>
      <w:r>
        <w:t xml:space="preserve">The process layer is an exercised vulnerability-response program, an independent external</w:t>
      </w:r>
      <w:r>
        <w:t xml:space="preserve"> </w:t>
      </w:r>
      <w:r>
        <w:t xml:space="preserve">challenge, a single honest verdict-of-record, and a release gate. None of it can be discharged by a</w:t>
      </w:r>
      <w:r>
        <w:t xml:space="preserve"> </w:t>
      </w:r>
      <w:r>
        <w:t xml:space="preserve">passing scanner. It needs a rehearsal, a signature, or an outside party.</w:t>
      </w:r>
    </w:p>
    <w:p>
      <w:pPr>
        <w:pStyle w:val="BodyText"/>
      </w:pPr>
      <w:r>
        <w:rPr>
          <w:b/>
          <w:bCs/>
        </w:rPr>
        <w:t xml:space="preserve">A green pipeline from a gate you ran on yourself does not substitute for an adversary who did</w:t>
      </w:r>
      <w:r>
        <w:rPr>
          <w:b/>
          <w:bCs/>
        </w:rPr>
        <w:t xml:space="preserve"> </w:t>
      </w:r>
      <w:r>
        <w:rPr>
          <w:b/>
          <w:bCs/>
        </w:rPr>
        <w:t xml:space="preserve">not.</w:t>
      </w:r>
      <w:r>
        <w:t xml:space="preserve"> </w:t>
      </w:r>
      <w:r>
        <w:t xml:space="preserve">Defects concentrate in the second layer, and a perfect first layer does not compensate for an</w:t>
      </w:r>
      <w:r>
        <w:t xml:space="preserve"> </w:t>
      </w:r>
      <w:r>
        <w:t xml:space="preserve">empty second one. Say that in the same breath as any claim about your automated coverage.</w:t>
      </w:r>
    </w:p>
    <w:p>
      <w:r>
        <w:pict>
          <v:rect style="width:0;height:1.5pt" o:hralign="center" o:hrstd="t" o:hr="t"/>
        </w:pict>
      </w:r>
    </w:p>
    <w:bookmarkEnd w:id="14"/>
    <w:bookmarkStart w:id="17"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mode is not that somebody</w:t>
      </w:r>
      <w:r>
        <w:t xml:space="preserve"> </w:t>
      </w:r>
      <w:r>
        <w:t xml:space="preserve">does the wrong thing -- it is that both sides assume the other has it covered. Publish the split as</w:t>
      </w:r>
      <w:r>
        <w:t xml:space="preserve"> </w:t>
      </w:r>
      <w:r>
        <w:t xml:space="preserve">a table so that assumption cannot survive.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t xml:space="preserve">Shipping the software confers nothing on the operator. An attestation that the software was built</w:t>
      </w:r>
      <w:r>
        <w:t xml:space="preserve"> </w:t>
      </w:r>
      <w:r>
        <w:t xml:space="preserve">securely is an input to their assessment, never a substitute for it. State that where an adopter</w:t>
      </w:r>
      <w:r>
        <w:t xml:space="preserve"> </w:t>
      </w:r>
      <w:r>
        <w:t xml:space="preserve">will read it, not in a footnote.</w:t>
      </w:r>
    </w:p>
    <w:p>
      <w:pPr>
        <w:pStyle w:val="BodyText"/>
      </w:pPr>
      <w:r>
        <w:t xml:space="preserve">The split also constrains what you may write elsewhere in this document. Anything in the right-hand</w:t>
      </w:r>
      <w:r>
        <w:t xml:space="preserve"> </w:t>
      </w:r>
      <w:r>
        <w:t xml:space="preserve">column is something you</w:t>
      </w:r>
      <w:r>
        <w:t xml:space="preserve"> </w:t>
      </w:r>
      <w:r>
        <w:rPr>
          <w:b/>
          <w:bCs/>
        </w:rPr>
        <w:t xml:space="preserve">document and recommend</w:t>
      </w:r>
      <w:r>
        <w:t xml:space="preserve">. It never appears in a list of controls you</w:t>
      </w:r>
      <w:r>
        <w:t xml:space="preserve"> </w:t>
      </w:r>
      <w:r>
        <w:t xml:space="preserve">provide.</w:t>
      </w:r>
    </w:p>
    <w:bookmarkStart w:id="15" w:name="X4ca1e2b74cbf9e5a534c776f2934c8292145685"/>
    <w:p>
      <w:pPr>
        <w:pStyle w:val="Heading3"/>
      </w:pPr>
      <w:r>
        <w:t xml:space="preserve">The third participant: services neither column owns</w:t>
      </w:r>
    </w:p>
    <w:p>
      <w:pPr>
        <w:pStyle w:val="FirstParagraph"/>
      </w:pPr>
      <w:r>
        <w:t xml:space="preserve">List the services the build depends on, what each is trusted to do, and what fails if it is</w:t>
      </w:r>
      <w:r>
        <w:t xml:space="preserve"> </w:t>
      </w:r>
      <w:r>
        <w:t xml:space="preserve">compromised or simply goes away.</w:t>
      </w:r>
      <w:r>
        <w:t xml:space="preserve"> </w:t>
      </w:r>
      <w:r>
        <w:rPr>
          <w:b/>
          <w:bCs/>
        </w:rPr>
        <w:t xml:space="preserve">[prompted by: 800-53 SA-9]</w:t>
      </w:r>
      <w:r>
        <w:t xml:space="preserve"> </w:t>
      </w:r>
      <w:r>
        <w:t xml:space="preserve">(The first of the bracketed marks:</w:t>
      </w:r>
      <w:r>
        <w:t xml:space="preserve"> </w:t>
      </w:r>
      <w:r>
        <w:t xml:space="preserve">the source raised the topic, and the rule as written is ours.</w:t>
      </w:r>
      <w:r>
        <w:t xml:space="preserve"> </w:t>
      </w:r>
      <w:hyperlink w:anchor="where-the-rules-come-from">
        <w:r>
          <w:rPr>
            <w:rStyle w:val="Hyperlink"/>
          </w:rPr>
          <w:t xml:space="preserve">Where the rules come from</w:t>
        </w:r>
      </w:hyperlink>
      <w:r>
        <w:t xml:space="preserve"> </w:t>
      </w:r>
      <w:r>
        <w:t xml:space="preserve">defines this one and the other two.) The two</w:t>
      </w:r>
      <w:r>
        <w:t xml:space="preserve"> </w:t>
      </w:r>
      <w:r>
        <w:t xml:space="preserve">columns above have no room</w:t>
      </w:r>
      <w:r>
        <w:t xml:space="preserve"> </w:t>
      </w:r>
      <w:r>
        <w:t xml:space="preserve">for the CI provider, the source host, the package registry, the transparency log or the artifact</w:t>
      </w:r>
      <w:r>
        <w:t xml:space="preserve"> </w:t>
      </w:r>
      <w:r>
        <w:t xml:space="preserve">store, so every control those hold gets filed under a column where it does not fit. Give them a table</w:t>
      </w:r>
      <w:r>
        <w:t xml:space="preserve"> </w:t>
      </w:r>
      <w:r>
        <w:t xml:space="preserve">of their own. Five to eight rows is the whole of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hyperlink w:anchor="X48eebdbfd8d38cb086e115614d17c7297664944">
              <w:r>
                <w:rPr>
                  <w:rStyle w:val="Hyperlink"/>
                </w:rPr>
                <w:t xml:space="preserve">Section 10's</w:t>
              </w:r>
            </w:hyperlink>
            <w:r>
              <w:t xml:space="preserve"> </w:t>
            </w:r>
            <w:r>
              <w:t xml:space="preserve">archive, and every claim that rests on it</w:t>
            </w:r>
          </w:p>
        </w:tc>
      </w:tr>
    </w:tbl>
    <w:p>
      <w:pPr>
        <w:pStyle w:val="BodyText"/>
      </w:pPr>
      <w:r>
        <w:t xml:space="preserve">This is also where</w:t>
      </w:r>
      <w:r>
        <w:t xml:space="preserve"> </w:t>
      </w:r>
      <w:hyperlink w:anchor="X48eebdbfd8d38cb086e115614d17c7297664944">
        <w:r>
          <w:rPr>
            <w:rStyle w:val="Hyperlink"/>
          </w:rPr>
          <w:t xml:space="preserve">section 10's</w:t>
        </w:r>
      </w:hyperlink>
      <w:r>
        <w:t xml:space="preserve"> </w:t>
      </w:r>
      <w:hyperlink w:anchor="Xca148109ff5f44572641d020555735042fe03e4">
        <w:r>
          <w:rPr>
            <w:rStyle w:val="Hyperlink"/>
            <w:i/>
            <w:iCs/>
          </w:rPr>
          <w:t xml:space="preserve">keyless signing moves the threat model, it does not remove it</w:t>
        </w:r>
      </w:hyperlink>
      <w:r>
        <w:t xml:space="preserve"> </w:t>
      </w:r>
      <w:r>
        <w:t xml:space="preserve">puts the load it relocates. That sentence names a relocation and, without this table, the load has</w:t>
      </w:r>
      <w:r>
        <w:t xml:space="preserve"> </w:t>
      </w:r>
      <w:r>
        <w:t xml:space="preserve">nowhere to land.</w:t>
      </w:r>
    </w:p>
    <w:p>
      <w:pPr>
        <w:pStyle w:val="BodyText"/>
      </w:pPr>
      <w:r>
        <w:t xml:space="preserve">Right-size the ongoing part honestly. For a small team, monitoring a provider means subscribing to its</w:t>
      </w:r>
      <w:r>
        <w:t xml:space="preserve"> </w:t>
      </w:r>
      <w:r>
        <w:t xml:space="preserve">status and security advisory feeds and actually reading them, not auditing it. Write that, rather than</w:t>
      </w:r>
      <w:r>
        <w:t xml:space="preserve"> </w:t>
      </w:r>
      <w:r>
        <w:t xml:space="preserve">an oversight sentence nobody performs. The table is a written artifact: it introduces no new blocking</w:t>
      </w:r>
      <w:r>
        <w:t xml:space="preserve"> </w:t>
      </w:r>
      <w:r>
        <w:t xml:space="preserve">release condition and weakens nothing above it.</w:t>
      </w:r>
    </w:p>
    <w:bookmarkEnd w:id="15"/>
    <w:bookmarkStart w:id="16" w:name="X5d46b3bfadc8b2b87d8791de125bb6253b37e18"/>
    <w:p>
      <w:pPr>
        <w:pStyle w:val="Heading3"/>
      </w:pPr>
      <w:r>
        <w:t xml:space="preserve">What "restricted data" means here, exactly once</w:t>
      </w:r>
    </w:p>
    <w:p>
      <w:pPr>
        <w:pStyle w:val="FirstParagraph"/>
      </w:pPr>
      <w:r>
        <w:t xml:space="preserve">Define the data classes in one table, and let every other rule on this page point at it rather than</w:t>
      </w:r>
      <w:r>
        <w:t xml:space="preserve"> </w:t>
      </w:r>
      <w:r>
        <w:t xml:space="preserve">carry an adjective of its own.</w:t>
      </w:r>
      <w:r>
        <w:t xml:space="preserve"> </w:t>
      </w:r>
      <w:r>
        <w:rPr>
          <w:b/>
          <w:bCs/>
        </w:rPr>
        <w:t xml:space="preserve">[prompted by: 800-53 SC-28]</w:t>
      </w:r>
      <w:r>
        <w:t xml:space="preserve"> </w:t>
      </w:r>
      <w:r>
        <w:t xml:space="preserve">One row per class of data the</w:t>
      </w:r>
      <w:r>
        <w:t xml:space="preserve"> </w:t>
      </w:r>
      <w:r>
        <w:t xml:space="preserve">software handles, with five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w:t>
            </w:r>
            <w:r>
              <w:t xml:space="preserve"> </w:t>
            </w:r>
            <w:hyperlink w:anchor="Xac02c7d32d5bb277c9e44f3436addfe1b1747df">
              <w:r>
                <w:rPr>
                  <w:rStyle w:val="Hyperlink"/>
                </w:rPr>
                <w:t xml:space="preserve">section 2</w:t>
              </w:r>
            </w:hyperlink>
            <w:r>
              <w:t xml:space="preserve"> </w:t>
            </w:r>
            <w:r>
              <w:t xml:space="preserve">it arrives on</w:t>
            </w:r>
          </w:p>
        </w:tc>
      </w:tr>
      <w:tr>
        <w:tc>
          <w:tcPr/>
          <w:p>
            <w:pPr>
              <w:pStyle w:val="Compact"/>
            </w:pPr>
            <w:r>
              <w:t xml:space="preserve">Comes to rest in</w:t>
            </w:r>
          </w:p>
        </w:tc>
        <w:tc>
          <w:tcPr/>
          <w:p>
            <w:pPr>
              <w:pStyle w:val="Compact"/>
            </w:pPr>
            <w:r>
              <w:rPr>
                <w:b/>
                <w:bCs/>
              </w:rPr>
              <w:t xml:space="preserve">Every</w:t>
            </w:r>
            <w:r>
              <w:t xml:space="preserve"> </w:t>
            </w:r>
            <w:r>
              <w:t xml:space="preserve">place, not the obvious one: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of those resting places, and where the key material for it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One row filled in, to show the shape. Illustrative only -- it is not a required entry and it</w:t>
      </w:r>
      <w:r>
        <w:t xml:space="preserve"> </w:t>
      </w:r>
      <w:r>
        <w:t xml:space="preserve">describes no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Enters through</w:t>
            </w:r>
          </w:p>
        </w:tc>
        <w:tc>
          <w:tcPr/>
          <w:p>
            <w:pPr>
              <w:pStyle w:val="Compact"/>
            </w:pPr>
            <w:r>
              <w:t xml:space="preserve">Comes to rest in</w:t>
            </w:r>
          </w:p>
        </w:tc>
        <w:tc>
          <w:tcPr/>
          <w:p>
            <w:pPr>
              <w:pStyle w:val="Compact"/>
            </w:pPr>
            <w:r>
              <w:t xml:space="preserve">Protected how</w:t>
            </w:r>
          </w:p>
        </w:tc>
        <w:tc>
          <w:tcPr/>
          <w:p>
            <w:pPr>
              <w:pStyle w:val="Compact"/>
            </w:pPr>
            <w:r>
              <w:t xml:space="preserve">Kept how long</w:t>
            </w:r>
          </w:p>
        </w:tc>
      </w:tr>
      <w:tr>
        <w:tc>
          <w:tcPr/>
          <w:p>
            <w:pPr>
              <w:pStyle w:val="Compact"/>
            </w:pPr>
            <w:r>
              <w:t xml:space="preserve">Credentials and key material</w:t>
            </w:r>
          </w:p>
        </w:tc>
        <w:tc>
          <w:tcPr/>
          <w:p>
            <w:pPr>
              <w:pStyle w:val="Compact"/>
            </w:pPr>
            <w:r>
              <w:t xml:space="preserve">No boundary in section 2's list -- the running account resolves this at startup rather than receiving it as input, which is what the column is for</w:t>
            </w:r>
          </w:p>
        </w:tc>
        <w:tc>
          <w:tcPr/>
          <w:p>
            <w:pPr>
              <w:pStyle w:val="Compact"/>
            </w:pPr>
            <w:r>
              <w:t xml:space="preserve">The secret store, and nowhere else -- not the primary store, the application log, the audit log, a temporary or spool file, a crash dump, a support bundle, an export, a published artifact, a test fixture, or the context handed to an AI coding assistant</w:t>
            </w:r>
          </w:p>
        </w:tc>
        <w:tc>
          <w:tcPr/>
          <w:p>
            <w:pPr>
              <w:pStyle w:val="Compact"/>
            </w:pPr>
            <w:r>
              <w:t xml:space="preserve">Encrypted at rest by the secret store, and the running account holds no copy in a file. The key material protecting the store is the operator's, in whatever key service the store is configured against -- a right-hand-column control under</w:t>
            </w:r>
            <w:r>
              <w:t xml:space="preserve"> </w:t>
            </w:r>
            <w:hyperlink w:anchor="Xf8794b0126bc78285fb10778097a0695650e57d">
              <w:r>
                <w:rPr>
                  <w:rStyle w:val="Hyperlink"/>
                </w:rPr>
                <w:t xml:space="preserve">section 1</w:t>
              </w:r>
            </w:hyperlink>
            <w:r>
              <w:t xml:space="preserve">, named here rather than claimed</w:t>
            </w:r>
          </w:p>
        </w:tc>
        <w:tc>
          <w:tcPr/>
          <w:p>
            <w:pPr>
              <w:pStyle w:val="Compact"/>
            </w:pPr>
            <w:r>
              <w:t xml:space="preserve">No retention default, because nothing is retained: rotation replaces the value and the store discards the previous one. Rotation is the documented deletion path</w:t>
            </w:r>
          </w:p>
        </w:tc>
      </w:tr>
    </w:tbl>
    <w:p>
      <w:pPr>
        <w:pStyle w:val="BodyText"/>
      </w:pPr>
      <w:r>
        <w:t xml:space="preserve">Classes that recur:</w:t>
      </w:r>
    </w:p>
    <w:p>
      <w:pPr>
        <w:pStyle w:val="Compact"/>
        <w:numPr>
          <w:ilvl w:val="0"/>
          <w:numId w:val="1003"/>
        </w:numPr>
      </w:pPr>
      <w:r>
        <w:t xml:space="preserve">credentials and key material</w:t>
      </w:r>
    </w:p>
    <w:p>
      <w:pPr>
        <w:pStyle w:val="Compact"/>
        <w:numPr>
          <w:ilvl w:val="0"/>
          <w:numId w:val="1003"/>
        </w:numPr>
      </w:pPr>
      <w:r>
        <w:t xml:space="preserve">data restricted under a regime the adopting organization operates under</w:t>
      </w:r>
    </w:p>
    <w:p>
      <w:pPr>
        <w:pStyle w:val="Compact"/>
        <w:numPr>
          <w:ilvl w:val="0"/>
          <w:numId w:val="1003"/>
        </w:numPr>
      </w:pPr>
      <w:r>
        <w:t xml:space="preserve">operational telemetry that identifies a person or a site</w:t>
      </w:r>
    </w:p>
    <w:p>
      <w:pPr>
        <w:pStyle w:val="Compact"/>
        <w:numPr>
          <w:ilvl w:val="0"/>
          <w:numId w:val="1003"/>
        </w:numPr>
      </w:pPr>
      <w:r>
        <w:t xml:space="preserve">the published artifact and its metadata, which is public by construction and belongs in the table</w:t>
      </w:r>
      <w:r>
        <w:t xml:space="preserve"> </w:t>
      </w:r>
      <w:r>
        <w:t xml:space="preserve">precisely so that is written down rather than assumed</w:t>
      </w:r>
    </w:p>
    <w:p>
      <w:pPr>
        <w:pStyle w:val="FirstParagraph"/>
      </w:pPr>
      <w:r>
        <w:t xml:space="preserve">The third column is the one that earns the table. "At rest" is commonly read as a property of a</w:t>
      </w:r>
      <w:r>
        <w:t xml:space="preserve"> </w:t>
      </w:r>
      <w:r>
        <w:t xml:space="preserve">storage device. Read that way it covers the primary store and misses the rotating log file, the</w:t>
      </w:r>
      <w:r>
        <w:t xml:space="preserve"> </w:t>
      </w:r>
      <w:r>
        <w:t xml:space="preserve">crash dump and the support bundle -- which hold the same content, in the same state, with none of the</w:t>
      </w:r>
      <w:r>
        <w:t xml:space="preserve"> </w:t>
      </w:r>
      <w:r>
        <w:t xml:space="preserve">protection. Rate the</w:t>
      </w:r>
      <w:r>
        <w:t xml:space="preserve"> </w:t>
      </w:r>
      <w:r>
        <w:rPr>
          <w:b/>
          <w:bCs/>
        </w:rPr>
        <w:t xml:space="preserve">state of the information</w:t>
      </w:r>
      <w:r>
        <w:t xml:space="preserve">, not the device it happens to sit on and not how</w:t>
      </w:r>
      <w:r>
        <w:t xml:space="preserve"> </w:t>
      </w:r>
      <w:r>
        <w:t xml:space="preserve">often anything reads it.</w:t>
      </w:r>
    </w:p>
    <w:p>
      <w:pPr>
        <w:pStyle w:val="BodyText"/>
      </w:pPr>
      <w:r>
        <w:t xml:space="preserve">Rate each class against the three security objectives, at three impact levels.</w:t>
      </w:r>
      <w:r>
        <w:t xml:space="preserve"> </w:t>
      </w:r>
      <w:r>
        <w:rPr>
          <w:b/>
          <w:bCs/>
        </w:rPr>
        <w:t xml:space="preserve">[derived: FIPS 199]</w:t>
      </w:r>
      <w:r>
        <w:t xml:space="preserve"> </w:t>
      </w:r>
      <w:r>
        <w:t xml:space="preserve">Confidentiality, integrity and availability, each low, moderate or high. That</w:t>
      </w:r>
      <w:r>
        <w:t xml:space="preserve"> </w:t>
      </w:r>
      <w:r>
        <w:t xml:space="preserve">is the whole of the vocabulary this document needs, and it is enough.</w:t>
      </w:r>
    </w:p>
    <w:p>
      <w:pPr>
        <w:pStyle w:val="BodyText"/>
      </w:pPr>
      <w:r>
        <w:rPr>
          <w:b/>
          <w:bCs/>
        </w:rPr>
        <w:t xml:space="preserve">Restricted data</w:t>
      </w:r>
      <w:r>
        <w:t xml:space="preserve">, everywhere else on this page, means any class your own filled-in copy of that</w:t>
      </w:r>
      <w:r>
        <w:t xml:space="preserve"> </w:t>
      </w:r>
      <w:r>
        <w:t xml:space="preserve">table rates above low on confidentiality or integrity. Deliberately not "the top impact level". This</w:t>
      </w:r>
      <w:r>
        <w:t xml:space="preserve"> </w:t>
      </w:r>
      <w:r>
        <w:t xml:space="preserve">term replaced an open-ended adjective that earlier rules on this page already carried. A</w:t>
      </w:r>
      <w:r>
        <w:t xml:space="preserve"> </w:t>
      </w:r>
      <w:r>
        <w:t xml:space="preserve">definition narrower than the adjective it replaces silently weakens every one of them: it would let a class</w:t>
      </w:r>
      <w:r>
        <w:t xml:space="preserve"> </w:t>
      </w:r>
      <w:r>
        <w:t xml:space="preserve">rated moderate travel in cleartext, rest unencrypted, and be logged at informational level -- with no</w:t>
      </w:r>
      <w:r>
        <w:t xml:space="preserve"> </w:t>
      </w:r>
      <w:r>
        <w:t xml:space="preserve">edit to any of those rules, and nothing in the diff to show it. If you want a stricter tier for one</w:t>
      </w:r>
      <w:r>
        <w:t xml:space="preserve"> </w:t>
      </w:r>
      <w:r>
        <w:t xml:space="preserve">specific ratchet, name that ratchet where it is stated and leave the rest quantified over the broader</w:t>
      </w:r>
      <w:r>
        <w:t xml:space="preserve"> </w:t>
      </w:r>
      <w:r>
        <w:t xml:space="preserve">set. That is the single definition. If a rule elsewhere says restricted data and your table has no</w:t>
      </w:r>
      <w:r>
        <w:t xml:space="preserve"> </w:t>
      </w:r>
      <w:r>
        <w:t xml:space="preserve">row that matches, the finding is the missing row.</w:t>
      </w:r>
    </w:p>
    <w:p>
      <w:pPr>
        <w:pStyle w:val="BodyText"/>
      </w:pPr>
      <w:r>
        <w:t xml:space="preserve">The table supplies the scope of at-rest protection and the retention default -- what the rule is</w:t>
      </w:r>
      <w:r>
        <w:t xml:space="preserve"> </w:t>
      </w:r>
      <w:r>
        <w:t xml:space="preserve">quantified over, and for how long. It supplies no storage mechanism, and adopting it does not by</w:t>
      </w:r>
      <w:r>
        <w:t xml:space="preserve"> </w:t>
      </w:r>
      <w:r>
        <w:t xml:space="preserve">itself make anything encrypted; it makes the existing default in</w:t>
      </w:r>
      <w:r>
        <w:t xml:space="preserve"> </w:t>
      </w:r>
      <w:hyperlink w:anchor="X14e6323bcf6e9b0e8faa6bdd21b76d13cd211dd">
        <w:r>
          <w:rPr>
            <w:rStyle w:val="Hyperlink"/>
          </w:rPr>
          <w:t xml:space="preserve">section 7</w:t>
        </w:r>
      </w:hyperlink>
      <w:r>
        <w:t xml:space="preserve"> </w:t>
      </w:r>
      <w:r>
        <w:t xml:space="preserve">checkable, which it was not</w:t>
      </w:r>
      <w:r>
        <w:t xml:space="preserve"> </w:t>
      </w:r>
      <w:r>
        <w:t xml:space="preserve">before. And it is a written artifact rather than a release gate: it adds no blocking condition and</w:t>
      </w:r>
      <w:r>
        <w:t xml:space="preserve"> </w:t>
      </w:r>
      <w:r>
        <w:t xml:space="preserve">weakens no requirement above it.</w:t>
      </w:r>
    </w:p>
    <w:p>
      <w:r>
        <w:pict>
          <v:rect style="width:0;height:1.5pt" o:hralign="center" o:hrstd="t" o:hr="t"/>
        </w:pict>
      </w:r>
    </w:p>
    <w:bookmarkEnd w:id="16"/>
    <w:bookmarkEnd w:id="17"/>
    <w:bookmarkStart w:id="20" w:name="Xac02c7d32d5bb277c9e44f3436addfe1b1747df"/>
    <w:p>
      <w:pPr>
        <w:pStyle w:val="Heading2"/>
      </w:pPr>
      <w:r>
        <w:t xml:space="preserve">2. Threat model each trust boundary before you build it</w:t>
      </w:r>
    </w:p>
    <w:p>
      <w:pPr>
        <w:pStyle w:val="FirstParagraph"/>
      </w:pPr>
      <w:r>
        <w:t xml:space="preserve">A trust boundary is anywhere input you do not control crosses into code you do. A network</w:t>
      </w:r>
      <w:r>
        <w:t xml:space="preserve"> </w:t>
      </w:r>
      <w:r>
        <w:t xml:space="preserve">interface is one. So is a command line, a file dropped in a watched directory, a scheduled job</w:t>
      </w:r>
      <w:r>
        <w:t xml:space="preserve"> </w:t>
      </w:r>
      <w:r>
        <w:t xml:space="preserve">reading shared storage, a queue consumer, a webhook, an inter-process channel, and a database</w:t>
      </w:r>
      <w:r>
        <w:t xml:space="preserve"> </w:t>
      </w:r>
      <w:r>
        <w:t xml:space="preserve">somebody else writes to. If your system has no network interfaces at all, it still has boundaries.</w:t>
      </w:r>
    </w:p>
    <w:p>
      <w:pPr>
        <w:pStyle w:val="BodyText"/>
      </w:pPr>
      <w:r>
        <w:t xml:space="preserve">Every boundary and component gets a written, lightweight threat model. It names a mitigation for each</w:t>
      </w:r>
      <w:r>
        <w:t xml:space="preserve"> </w:t>
      </w:r>
      <w:r>
        <w:t xml:space="preserve">way in, and puts a constraining control on each piece of dangerous functionality and each</w:t>
      </w:r>
      <w:r>
        <w:t xml:space="preserve"> </w:t>
      </w:r>
      <w:r>
        <w:t xml:space="preserve">third-party component it pulls in.</w:t>
      </w:r>
    </w:p>
    <w:p>
      <w:pPr>
        <w:pStyle w:val="BodyText"/>
      </w:pPr>
      <w:r>
        <w:t xml:space="preserve">Three properties make it worth writing:</w:t>
      </w:r>
    </w:p>
    <w:p>
      <w:pPr>
        <w:pStyle w:val="Compact"/>
        <w:numPr>
          <w:ilvl w:val="0"/>
          <w:numId w:val="1004"/>
        </w:numPr>
      </w:pPr>
      <w:r>
        <w:t xml:space="preserve">Reviewed against the security requirements before code exists. After the build it becomes</w:t>
      </w:r>
      <w:r>
        <w:t xml:space="preserve"> </w:t>
      </w:r>
      <w:r>
        <w:t xml:space="preserve">documentation; before the build it is a design gate.</w:t>
      </w:r>
    </w:p>
    <w:p>
      <w:pPr>
        <w:pStyle w:val="Compact"/>
        <w:numPr>
          <w:ilvl w:val="0"/>
          <w:numId w:val="1004"/>
        </w:numPr>
      </w:pPr>
      <w:r>
        <w:t xml:space="preserve">The specification the later review checks against. The reviewed artifact plus its acceptance</w:t>
      </w:r>
      <w:r>
        <w:t xml:space="preserve"> </w:t>
      </w:r>
      <w:r>
        <w:t xml:space="preserve">criteria are what a change is compared to -- without them, review has nothing but taste.</w:t>
      </w:r>
    </w:p>
    <w:p>
      <w:pPr>
        <w:pStyle w:val="Compact"/>
        <w:numPr>
          <w:ilvl w:val="0"/>
          <w:numId w:val="1004"/>
        </w:numPr>
      </w:pPr>
      <w:r>
        <w:t xml:space="preserve">Artifact-checked and advisory, not a scanner. Do not pretend otherwise: nothing mechanical</w:t>
      </w:r>
      <w:r>
        <w:t xml:space="preserve"> </w:t>
      </w:r>
      <w:r>
        <w:t xml:space="preserve">verifies that a threat model is good, and a gate can only verify that one exists for a boundary</w:t>
      </w:r>
      <w:r>
        <w:t xml:space="preserve"> </w:t>
      </w:r>
      <w:r>
        <w:t xml:space="preserve">that was added.</w:t>
      </w:r>
    </w:p>
    <w:p>
      <w:pPr>
        <w:pStyle w:val="FirstParagraph"/>
      </w:pPr>
      <w:r>
        <w:t xml:space="preserve">The highest-value form is boring: a list of every place unknown-provenance data or code enters, and</w:t>
      </w:r>
      <w:r>
        <w:t xml:space="preserve"> </w:t>
      </w:r>
      <w:r>
        <w:t xml:space="preserve">against each one the specific thing that bounds it. When a new ingress is added and nobody can name</w:t>
      </w:r>
      <w:r>
        <w:t xml:space="preserve"> </w:t>
      </w:r>
      <w:r>
        <w:t xml:space="preserve">its mitigation, that is the finding.</w:t>
      </w:r>
    </w:p>
    <w:p>
      <w:pPr>
        <w:pStyle w:val="BodyText"/>
      </w:pPr>
      <w:r>
        <w:t xml:space="preserve">One row, to show the shape. Illustrative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w:t>
            </w:r>
          </w:p>
        </w:tc>
        <w:tc>
          <w:tcPr/>
          <w:p>
            <w:pPr>
              <w:pStyle w:val="Compact"/>
            </w:pPr>
            <w:r>
              <w:t xml:space="preserve">Mitigation</w:t>
            </w:r>
          </w:p>
        </w:tc>
        <w:tc>
          <w:tcPr/>
          <w:p>
            <w:pPr>
              <w:pStyle w:val="Compact"/>
            </w:pPr>
            <w:r>
              <w:t xml:space="preserve">Bound</w:t>
            </w:r>
          </w:p>
        </w:tc>
      </w:tr>
      <w:tr>
        <w:tc>
          <w:tcPr/>
          <w:p>
            <w:pPr>
              <w:pStyle w:val="Compact"/>
            </w:pPr>
            <w:r>
              <w:t xml:space="preserve">A file dropped in a watched directory</w:t>
            </w:r>
          </w:p>
        </w:tc>
        <w:tc>
          <w:tcPr/>
          <w:p>
            <w:pPr>
              <w:pStyle w:val="Compact"/>
            </w:pPr>
            <w:r>
              <w:t xml:space="preserve">Path canonicalised against the configured directory so traversal and symlink escapes are rejected; type and size validated by content rather than extension; written atomically then renamed</w:t>
            </w:r>
          </w:p>
        </w:tc>
        <w:tc>
          <w:tcPr/>
          <w:p>
            <w:pPr>
              <w:pStyle w:val="Compact"/>
            </w:pPr>
            <w:r>
              <w:t xml:space="preserve">Maximum file size, files accepted per minute, concurrent readers, and total processing time per file</w:t>
            </w:r>
          </w:p>
        </w:tc>
      </w:tr>
    </w:tbl>
    <w:p>
      <w:pPr>
        <w:pStyle w:val="BodyText"/>
      </w:pPr>
      <w:r>
        <w:t xml:space="preserve">Name a bound on resource consumption for every boundary, not only the parsing ones.</w:t>
      </w:r>
      <w:r>
        <w:t xml:space="preserve"> </w:t>
      </w:r>
      <w:r>
        <w:rPr>
          <w:b/>
          <w:bCs/>
        </w:rPr>
        <w:t xml:space="preserve">[prompted by: 800-53 SC-5]</w:t>
      </w:r>
      <w:r>
        <w:t xml:space="preserve"> </w:t>
      </w:r>
      <w:r>
        <w:t xml:space="preserve">The questions in this section and the list in</w:t>
      </w:r>
      <w:r>
        <w:t xml:space="preserve"> </w:t>
      </w:r>
      <w:hyperlink w:anchor="X856bc933e26f1c9456cb19e64981d263d6663dc">
        <w:r>
          <w:rPr>
            <w:rStyle w:val="Hyperlink"/>
          </w:rPr>
          <w:t xml:space="preserve">section 3</w:t>
        </w:r>
      </w:hyperlink>
      <w:r>
        <w:t xml:space="preserve"> </w:t>
      </w:r>
      <w:r>
        <w:t xml:space="preserve">cover confidentiality and integrity</w:t>
      </w:r>
      <w:r>
        <w:t xml:space="preserve"> </w:t>
      </w:r>
      <w:r>
        <w:t xml:space="preserve">almost exclusively. The one availability control on this page -- rate limits and timeouts -- used to</w:t>
      </w:r>
      <w:r>
        <w:t xml:space="preserve"> </w:t>
      </w:r>
      <w:r>
        <w:t xml:space="preserve">sit inside</w:t>
      </w:r>
      <w:r>
        <w:t xml:space="preserve"> </w:t>
      </w:r>
      <w:hyperlink w:anchor="X856bc933e26f1c9456cb19e64981d263d6663dc">
        <w:r>
          <w:rPr>
            <w:rStyle w:val="Hyperlink"/>
          </w:rPr>
          <w:t xml:space="preserve">section 3's</w:t>
        </w:r>
      </w:hyperlink>
      <w:r>
        <w:t xml:space="preserve"> </w:t>
      </w:r>
      <w:r>
        <w:t xml:space="preserve">structured-document</w:t>
      </w:r>
      <w:r>
        <w:t xml:space="preserve"> </w:t>
      </w:r>
      <w:r>
        <w:t xml:space="preserve">bullet, as though a parser were the only thing that can be exhausted. That bullet now points here</w:t>
      </w:r>
      <w:r>
        <w:t xml:space="preserve"> </w:t>
      </w:r>
      <w:r>
        <w:t xml:space="preserve">instead. Availability is a co-equal third objective. So for each boundary in the model, name the</w:t>
      </w:r>
      <w:r>
        <w:t xml:space="preserve"> </w:t>
      </w:r>
      <w:r>
        <w:t xml:space="preserve">maximum payload size, the request rate, the concurrency and the total time budget that a hostile</w:t>
      </w:r>
      <w:r>
        <w:t xml:space="preserve"> </w:t>
      </w:r>
      <w:r>
        <w:t xml:space="preserve">input cannot exceed. An unbounded boundary is a finding in the same way an unmitigated ingress is.</w:t>
      </w:r>
    </w:p>
    <w:p>
      <w:pPr>
        <w:pStyle w:val="BodyText"/>
      </w:pPr>
      <w:r>
        <w:t xml:space="preserve">The evidence is cheap, and it is the same shape as</w:t>
      </w:r>
      <w:r>
        <w:t xml:space="preserve"> </w:t>
      </w:r>
      <w:r>
        <w:rPr>
          <w:i/>
          <w:iCs/>
        </w:rPr>
        <w:t xml:space="preserve">enumerate the sibling paths</w:t>
      </w:r>
      <w:r>
        <w:t xml:space="preserve"> </w:t>
      </w:r>
      <w:r>
        <w:t xml:space="preserve">in</w:t>
      </w:r>
      <w:r>
        <w:t xml:space="preserve"> </w:t>
      </w:r>
      <w:hyperlink w:anchor="Xa04daca1c49463ed52ff2475309af2fe8799704">
        <w:r>
          <w:rPr>
            <w:rStyle w:val="Hyperlink"/>
          </w:rPr>
          <w:t xml:space="preserve">section 5</w:t>
        </w:r>
      </w:hyperlink>
      <w:r>
        <w:t xml:space="preserve">: the bound is a</w:t>
      </w:r>
      <w:r>
        <w:t xml:space="preserve"> </w:t>
      </w:r>
      <w:r>
        <w:t xml:space="preserve">constant in the code, so the check is one grep from each row of the boundary list to the constant</w:t>
      </w:r>
      <w:r>
        <w:t xml:space="preserve"> </w:t>
      </w:r>
      <w:r>
        <w:t xml:space="preserve">that enforces it. The common residual is the limit set on the boundary somebody thought about and</w:t>
      </w:r>
      <w:r>
        <w:t xml:space="preserve"> </w:t>
      </w:r>
      <w:r>
        <w:t xml:space="preserve">absent on its three siblings. Naming the bound records what is already there or reveals that it is</w:t>
      </w:r>
      <w:r>
        <w:t xml:space="preserve"> </w:t>
      </w:r>
      <w:r>
        <w:t xml:space="preserve">not; it introduces no new blocking release gate.</w:t>
      </w:r>
    </w:p>
    <w:p>
      <w:pPr>
        <w:pStyle w:val="BodyText"/>
      </w:pPr>
      <w:r>
        <w:t xml:space="preserve">Run a malformed-input harness against the code behind every ingress in that list.</w:t>
      </w:r>
      <w:r>
        <w:t xml:space="preserve"> </w:t>
      </w:r>
      <w:r>
        <w:rPr>
          <w:b/>
          <w:bCs/>
        </w:rPr>
        <w:t xml:space="preserve">[derived: 800-53 SA-11(8)]</w:t>
      </w:r>
      <w:r>
        <w:t xml:space="preserve"> </w:t>
      </w:r>
      <w:r>
        <w:t xml:space="preserve">Seed it from that boundary's own format, run it on a schedule rather</w:t>
      </w:r>
      <w:r>
        <w:t xml:space="preserve"> </w:t>
      </w:r>
      <w:r>
        <w:t xml:space="preserve">than on every change, commit the corpus, and turn every crash it finds into a regression test. This</w:t>
      </w:r>
      <w:r>
        <w:t xml:space="preserve"> </w:t>
      </w:r>
      <w:r>
        <w:t xml:space="preserve">is developer-run dynamic testing, and it is available to a project that cannot fund an outside</w:t>
      </w:r>
      <w:r>
        <w:t xml:space="preserve"> </w:t>
      </w:r>
      <w:r>
        <w:t xml:space="preserve">engagement -- see the correction in</w:t>
      </w:r>
      <w:r>
        <w:t xml:space="preserve"> </w:t>
      </w:r>
      <w:hyperlink w:anchor="X635127d1d4d4de93cff91f98240bebbfa4bd556">
        <w:r>
          <w:rPr>
            <w:rStyle w:val="Hyperlink"/>
          </w:rPr>
          <w:t xml:space="preserve">section 15</w:t>
        </w:r>
      </w:hyperlink>
      <w:r>
        <w:t xml:space="preserve">, where this</w:t>
      </w:r>
      <w:r>
        <w:t xml:space="preserve"> </w:t>
      </w:r>
      <w:r>
        <w:t xml:space="preserve">document previously said otherwise.</w:t>
      </w:r>
    </w:p>
    <w:p>
      <w:pPr>
        <w:pStyle w:val="BodyText"/>
      </w:pPr>
      <w:hyperlink w:anchor="Xa04daca1c49463ed52ff2475309af2fe8799704">
        <w:r>
          <w:rPr>
            <w:rStyle w:val="Hyperlink"/>
          </w:rPr>
          <w:t xml:space="preserve">Section 5</w:t>
        </w:r>
      </w:hyperlink>
      <w:r>
        <w:t xml:space="preserve"> </w:t>
      </w:r>
      <w:r>
        <w:t xml:space="preserve">classifies it,</w:t>
      </w:r>
      <w:r>
        <w:t xml:space="preserve"> </w:t>
      </w:r>
      <w:r>
        <w:t xml:space="preserve">explicitly, as</w:t>
      </w:r>
      <w:r>
        <w:t xml:space="preserve"> </w:t>
      </w:r>
      <w:r>
        <w:rPr>
          <w:b/>
          <w:bCs/>
        </w:rPr>
        <w:t xml:space="preserve">advisory</w:t>
      </w:r>
      <w:r>
        <w:t xml:space="preserve">: a scheduled job is by that section's definition not coverage. And this</w:t>
      </w:r>
      <w:r>
        <w:t xml:space="preserve"> </w:t>
      </w:r>
      <w:r>
        <w:t xml:space="preserve">one must not be wired to block, because its triage burden lands on the same person who would</w:t>
      </w:r>
      <w:r>
        <w:t xml:space="preserve"> </w:t>
      </w:r>
      <w:r>
        <w:t xml:space="preserve">otherwise be shipping. Carry the coverage hedge with it: a fuzzer that never gets past the first</w:t>
      </w:r>
      <w:r>
        <w:t xml:space="preserve"> </w:t>
      </w:r>
      <w:r>
        <w:t xml:space="preserve">parse call is the dynamic-testing equivalent of a clean run on a weak ruleset. And be precise about</w:t>
      </w:r>
      <w:r>
        <w:t xml:space="preserve"> </w:t>
      </w:r>
      <w:r>
        <w:t xml:space="preserve">reach: this gets at parser, decoder and boundary surfaces, not at the whole built artifact, so it</w:t>
      </w:r>
      <w:r>
        <w:t xml:space="preserve"> </w:t>
      </w:r>
      <w:r>
        <w:t xml:space="preserve">narrows the dynamic-testing gap rather than closing it. Do not write it up as closed.</w:t>
      </w:r>
    </w:p>
    <w:bookmarkStart w:id="18" w:name="Xbe20b8a6bd9af0d1e04ce040fc03c6beb08f178"/>
    <w:p>
      <w:pPr>
        <w:pStyle w:val="Heading3"/>
      </w:pPr>
      <w:r>
        <w:t xml:space="preserve">A diagram without marked trust boundaries is not a security artifact</w:t>
      </w:r>
    </w:p>
    <w:p>
      <w:pPr>
        <w:pStyle w:val="FirstParagraph"/>
      </w:pPr>
      <w:r>
        <w:t xml:space="preserve">The model above is a list, and a list is hard to check for absence: nobody notices the ingress that</w:t>
      </w:r>
      <w:r>
        <w:t xml:space="preserve"> </w:t>
      </w:r>
      <w:r>
        <w:t xml:space="preserve">was never written down. Draw the same thing. One diagram per system, showing at least the external</w:t>
      </w:r>
      <w:r>
        <w:t xml:space="preserve"> </w:t>
      </w:r>
      <w:r>
        <w:t xml:space="preserve">entities, the processes, the data stores, and the flows between them -- with the trust boundaries</w:t>
      </w:r>
      <w:r>
        <w:t xml:space="preserve"> </w:t>
      </w:r>
      <w:r>
        <w:t xml:space="preserve">drawn on it, as lines the flows cross.</w:t>
      </w:r>
    </w:p>
    <w:p>
      <w:pPr>
        <w:pStyle w:val="BodyText"/>
      </w:pPr>
      <w:r>
        <w:rPr>
          <w:b/>
          <w:bCs/>
        </w:rPr>
        <w:t xml:space="preserve">The boundaries are the whole of what makes it a security artifact.</w:t>
      </w:r>
      <w:r>
        <w:t xml:space="preserve"> </w:t>
      </w:r>
      <w:r>
        <w:t xml:space="preserve">Components and arrows with no</w:t>
      </w:r>
      <w:r>
        <w:t xml:space="preserve"> </w:t>
      </w:r>
      <w:r>
        <w:t xml:space="preserve">boundaries marked is architecture documentation. It is useful, it is not this, and the failure mode is</w:t>
      </w:r>
      <w:r>
        <w:t xml:space="preserve"> </w:t>
      </w:r>
      <w:r>
        <w:t xml:space="preserve">specific rather than pedantic: it gets found later by somebody who reads it as a threat model, because</w:t>
      </w:r>
      <w:r>
        <w:t xml:space="preserve"> </w:t>
      </w:r>
      <w:r>
        <w:t xml:space="preserve">it is the only picture in the repository and it looks like one. Mark on the diagram itself which lines</w:t>
      </w:r>
      <w:r>
        <w:t xml:space="preserve"> </w:t>
      </w:r>
      <w:r>
        <w:t xml:space="preserve">are boundaries, or do not file it as a threat modeling artifact.</w:t>
      </w:r>
    </w:p>
    <w:p>
      <w:pPr>
        <w:pStyle w:val="BodyText"/>
      </w:pPr>
      <w:r>
        <w:t xml:space="preserve">It is one artifact in two forms, and the check is that they agree. Every crossing on the diagram</w:t>
      </w:r>
      <w:r>
        <w:t xml:space="preserve"> </w:t>
      </w:r>
      <w:r>
        <w:t xml:space="preserve">has a row in the boundary list, and every row in the list has a crossing on the diagram. That two-way</w:t>
      </w:r>
      <w:r>
        <w:t xml:space="preserve"> </w:t>
      </w:r>
      <w:r>
        <w:t xml:space="preserve">check is what the picture buys over the list alone, and it is a read-through rather than a tool. Label</w:t>
      </w:r>
      <w:r>
        <w:t xml:space="preserve"> </w:t>
      </w:r>
      <w:r>
        <w:t xml:space="preserve">each flow with the data class it carries, from</w:t>
      </w:r>
      <w:r>
        <w:t xml:space="preserve"> </w:t>
      </w:r>
      <w:hyperlink w:anchor="Xf8794b0126bc78285fb10778097a0695650e57d">
        <w:r>
          <w:rPr>
            <w:rStyle w:val="Hyperlink"/>
          </w:rPr>
          <w:t xml:space="preserve">section 1's</w:t>
        </w:r>
      </w:hyperlink>
      <w:r>
        <w:t xml:space="preserve"> </w:t>
      </w:r>
      <w:r>
        <w:t xml:space="preserve">table. That table's</w:t>
      </w:r>
      <w:r>
        <w:t xml:space="preserve"> </w:t>
      </w:r>
      <w:r>
        <w:rPr>
          <w:i/>
          <w:iCs/>
        </w:rPr>
        <w:t xml:space="preserve">enters through</w:t>
      </w:r>
      <w:r>
        <w:t xml:space="preserve"> </w:t>
      </w:r>
      <w:r>
        <w:t xml:space="preserve">column becomes checkable in both directions rather than being a field somebody</w:t>
      </w:r>
      <w:r>
        <w:t xml:space="preserve"> </w:t>
      </w:r>
      <w:r>
        <w:t xml:space="preserve">filled in once.</w:t>
      </w:r>
    </w:p>
    <w:p>
      <w:pPr>
        <w:pStyle w:val="BodyText"/>
      </w:pPr>
      <w:r>
        <w:t xml:space="preserve">Keep the source in the repository, in a text format that diffs. A binary drawing in a shared folder</w:t>
      </w:r>
      <w:r>
        <w:t xml:space="preserve"> </w:t>
      </w:r>
      <w:r>
        <w:t xml:space="preserve">cannot be reviewed inside a change and is stale by the time anyone opens it. A diagram whose source is</w:t>
      </w:r>
      <w:r>
        <w:t xml:space="preserve"> </w:t>
      </w:r>
      <w:r>
        <w:t xml:space="preserve">text shows a new boundary as an added line in a diff, which is the same property that makes the</w:t>
      </w:r>
      <w:r>
        <w:t xml:space="preserve"> </w:t>
      </w:r>
      <w:r>
        <w:t xml:space="preserve">boundary list worth keeping in the first place. Any format with a text source works, and this document</w:t>
      </w:r>
      <w:r>
        <w:t xml:space="preserve"> </w:t>
      </w:r>
      <w:r>
        <w:t xml:space="preserve">names none, because the property is diffability rather than a tool.</w:t>
      </w:r>
    </w:p>
    <w:p>
      <w:pPr>
        <w:pStyle w:val="BodyText"/>
      </w:pPr>
      <w:r>
        <w:t xml:space="preserve">The diagram establishes nothing about the code. It records what somebody believed the boundaries</w:t>
      </w:r>
      <w:r>
        <w:t xml:space="preserve"> </w:t>
      </w:r>
      <w:r>
        <w:t xml:space="preserve">were; the code is where they actually are, and the two diverge without a sound. Nothing mechanical</w:t>
      </w:r>
      <w:r>
        <w:t xml:space="preserve"> </w:t>
      </w:r>
      <w:r>
        <w:t xml:space="preserve">verifies it, as with the threat model above. And it goes stale on at least the events that stale that</w:t>
      </w:r>
      <w:r>
        <w:t xml:space="preserve"> </w:t>
      </w:r>
      <w:r>
        <w:t xml:space="preserve">table -- a change that adds a data class, gives an existing class a new resting place, or adds a</w:t>
      </w:r>
      <w:r>
        <w:t xml:space="preserve"> </w:t>
      </w:r>
      <w:r>
        <w:t xml:space="preserve">boundary. And on a few the table survives, among them a flow rerouted, a data store added, and a</w:t>
      </w:r>
      <w:r>
        <w:t xml:space="preserve"> </w:t>
      </w:r>
      <w:r>
        <w:t xml:space="preserve">boundary removed. It therefore rides the event trigger</w:t>
      </w:r>
      <w:r>
        <w:t xml:space="preserve"> </w:t>
      </w:r>
      <w:hyperlink w:anchor="X81f17fbbfa4ed8bd23a7201a27e52cc85d71859">
        <w:r>
          <w:rPr>
            <w:rStyle w:val="Hyperlink"/>
          </w:rPr>
          <w:t xml:space="preserve">section 14</w:t>
        </w:r>
      </w:hyperlink>
      <w:r>
        <w:t xml:space="preserve"> </w:t>
      </w:r>
      <w:r>
        <w:t xml:space="preserve">gives</w:t>
      </w:r>
      <w:r>
        <w:t xml:space="preserve"> </w:t>
      </w:r>
      <w:hyperlink w:anchor="Xf8794b0126bc78285fb10778097a0695650e57d">
        <w:r>
          <w:rPr>
            <w:rStyle w:val="Hyperlink"/>
          </w:rPr>
          <w:t xml:space="preserve">section 1's</w:t>
        </w:r>
      </w:hyperlink>
      <w:r>
        <w:t xml:space="preserve"> </w:t>
      </w:r>
      <w:r>
        <w:t xml:space="preserve">data-class table, and the row</w:t>
      </w:r>
      <w:r>
        <w:t xml:space="preserve"> </w:t>
      </w:r>
      <w:hyperlink w:anchor="X166d910d570b75bb8e35866cbb9a8eb190f1767">
        <w:r>
          <w:rPr>
            <w:rStyle w:val="Hyperlink"/>
          </w:rPr>
          <w:t xml:space="preserve">section 16's</w:t>
        </w:r>
      </w:hyperlink>
      <w:r>
        <w:t xml:space="preserve"> </w:t>
      </w:r>
      <w:r>
        <w:t xml:space="preserve">gate already carries for that table, rather than adding a gate</w:t>
      </w:r>
      <w:r>
        <w:t xml:space="preserve"> </w:t>
      </w:r>
      <w:r>
        <w:t xml:space="preserve">row or a fifth calendar item of its own. It is also a map of every way into the system, so</w:t>
      </w:r>
      <w:r>
        <w:t xml:space="preserve"> </w:t>
      </w:r>
      <w:hyperlink w:anchor="X2e76d4b347a06a9540373165195f11ae36f497b">
        <w:r>
          <w:rPr>
            <w:rStyle w:val="Hyperlink"/>
          </w:rPr>
          <w:t xml:space="preserve">section 13's</w:t>
        </w:r>
      </w:hyperlink>
      <w:r>
        <w:t xml:space="preserve"> </w:t>
      </w:r>
      <w:r>
        <w:rPr>
          <w:i/>
          <w:iCs/>
        </w:rPr>
        <w:t xml:space="preserve">publish the rule, not the inventory</w:t>
      </w:r>
      <w:r>
        <w:t xml:space="preserve"> </w:t>
      </w:r>
      <w:r>
        <w:t xml:space="preserve">governs what</w:t>
      </w:r>
      <w:r>
        <w:t xml:space="preserve"> </w:t>
      </w:r>
      <w:r>
        <w:t xml:space="preserve">you do with it.</w:t>
      </w:r>
    </w:p>
    <w:p>
      <w:pPr>
        <w:pStyle w:val="BodyText"/>
      </w:pPr>
      <w:r>
        <w:t xml:space="preserve">Normative force: a written artifact, recommended. It introduces no new blocking release condition and</w:t>
      </w:r>
      <w:r>
        <w:t xml:space="preserve"> </w:t>
      </w:r>
      <w:r>
        <w:t xml:space="preserve">weakens nothing above it.</w:t>
      </w:r>
    </w:p>
    <w:bookmarkEnd w:id="18"/>
    <w:bookmarkStart w:id="19" w:name="Xe95926782a39bd4a0ad092566161170b8cb2e98"/>
    <w:p>
      <w:pPr>
        <w:pStyle w:val="Heading3"/>
      </w:pPr>
      <w:r>
        <w:t xml:space="preserve">Execution boundaries need the longest look</w:t>
      </w:r>
    </w:p>
    <w:p>
      <w:pPr>
        <w:pStyle w:val="FirstParagraph"/>
      </w:pPr>
      <w:r>
        <w:t xml:space="preserve">Trust boundaries where content becomes executable deserve more scrutiny than the rest. These</w:t>
      </w:r>
      <w:r>
        <w:t xml:space="preserve"> </w:t>
      </w:r>
      <w:r>
        <w:t xml:space="preserve">questions generalize:</w:t>
      </w:r>
    </w:p>
    <w:p>
      <w:pPr>
        <w:pStyle w:val="Compact"/>
        <w:numPr>
          <w:ilvl w:val="0"/>
          <w:numId w:val="1005"/>
        </w:numPr>
      </w:pPr>
      <w:r>
        <w:t xml:space="preserve">Is there any path that reaches execution without the vet running? Check every caller, not the</w:t>
      </w:r>
      <w:r>
        <w:t xml:space="preserve"> </w:t>
      </w:r>
      <w:r>
        <w:t xml:space="preserve">documented one.</w:t>
      </w:r>
    </w:p>
    <w:p>
      <w:pPr>
        <w:pStyle w:val="Compact"/>
        <w:numPr>
          <w:ilvl w:val="0"/>
          <w:numId w:val="1005"/>
        </w:numPr>
      </w:pPr>
      <w:r>
        <w:t xml:space="preserve">Does it fail closed, with no silent downgrade when the intended backend is absent?</w:t>
      </w:r>
    </w:p>
    <w:p>
      <w:pPr>
        <w:pStyle w:val="Compact"/>
        <w:numPr>
          <w:ilvl w:val="0"/>
          <w:numId w:val="1005"/>
        </w:numPr>
      </w:pPr>
      <w:r>
        <w:t xml:space="preserve">Is the load target validated against a fixed known set, so input cannot trigger an arbitrary</w:t>
      </w:r>
      <w:r>
        <w:t xml:space="preserve"> </w:t>
      </w:r>
      <w:r>
        <w:t xml:space="preserve">import?</w:t>
      </w:r>
    </w:p>
    <w:p>
      <w:pPr>
        <w:pStyle w:val="Compact"/>
        <w:numPr>
          <w:ilvl w:val="0"/>
          <w:numId w:val="1005"/>
        </w:numPr>
      </w:pPr>
      <w:r>
        <w:t xml:space="preserve">Does the vet cover the whole executable surface or only the obvious top level?</w:t>
      </w:r>
    </w:p>
    <w:p>
      <w:pPr>
        <w:pStyle w:val="Compact"/>
        <w:numPr>
          <w:ilvl w:val="0"/>
          <w:numId w:val="1005"/>
        </w:numPr>
      </w:pPr>
      <w:r>
        <w:t xml:space="preserve">Does it follow links, so a vetted-looking entry can point somewhere writable?</w:t>
      </w:r>
    </w:p>
    <w:p>
      <w:pPr>
        <w:pStyle w:val="Compact"/>
        <w:numPr>
          <w:ilvl w:val="0"/>
          <w:numId w:val="1005"/>
        </w:numPr>
      </w:pPr>
      <w:r>
        <w:t xml:space="preserve">Is the check skipped under a privileged account?</w:t>
      </w:r>
    </w:p>
    <w:p>
      <w:pPr>
        <w:pStyle w:val="Compact"/>
        <w:numPr>
          <w:ilvl w:val="0"/>
          <w:numId w:val="1005"/>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19"/>
    <w:bookmarkEnd w:id="20"/>
    <w:bookmarkStart w:id="22" w:name="X856bc933e26f1c9456cb19e64981d263d6663dc"/>
    <w:p>
      <w:pPr>
        <w:pStyle w:val="Heading2"/>
      </w:pPr>
      <w:r>
        <w:t xml:space="preserve">3. Secure coding: the finite list a review can check</w:t>
      </w:r>
    </w:p>
    <w:p>
      <w:pPr>
        <w:pStyle w:val="FirstParagraph"/>
      </w:pPr>
      <w:r>
        <w:t xml:space="preserve">A short checkable list beats a principle, because "is this change secure" is not a question a</w:t>
      </w:r>
      <w:r>
        <w:t xml:space="preserve"> </w:t>
      </w:r>
      <w:r>
        <w:t xml:space="preserve">reviewer can answer and these are.</w:t>
      </w:r>
    </w:p>
    <w:p>
      <w:pPr>
        <w:pStyle w:val="Compact"/>
        <w:numPr>
          <w:ilvl w:val="0"/>
          <w:numId w:val="1006"/>
        </w:numPr>
      </w:pPr>
      <w:r>
        <w:t xml:space="preserve">Validate structure and content of every inbound payload at ingress. Reject or quarantine</w:t>
      </w:r>
      <w:r>
        <w:t xml:space="preserve"> </w:t>
      </w:r>
      <w:r>
        <w:t xml:space="preserve">malformed input rather than processing it. An untrusted payload must be validated before it reaches</w:t>
      </w:r>
      <w:r>
        <w:t xml:space="preserve"> </w:t>
      </w:r>
      <w:r>
        <w:t xml:space="preserve">a query, a file path, a subprocess, or a message you emit downstream.</w:t>
      </w:r>
    </w:p>
    <w:p>
      <w:pPr>
        <w:pStyle w:val="Compact"/>
        <w:numPr>
          <w:ilvl w:val="0"/>
          <w:numId w:val="1006"/>
        </w:numPr>
      </w:pPr>
      <w:r>
        <w:t xml:space="preserve">Parameterised queries only. No string-built statements anywhere, no exceptions held open by a</w:t>
      </w:r>
      <w:r>
        <w:t xml:space="preserve"> </w:t>
      </w:r>
      <w:r>
        <w:t xml:space="preserve">comment.</w:t>
      </w:r>
    </w:p>
    <w:p>
      <w:pPr>
        <w:pStyle w:val="Compact"/>
        <w:numPr>
          <w:ilvl w:val="0"/>
          <w:numId w:val="1006"/>
        </w:numPr>
      </w:pPr>
      <w:r>
        <w:t xml:space="preserve">Authentication and authorization enforced on every action, deny by default.</w:t>
      </w:r>
    </w:p>
    <w:p>
      <w:pPr>
        <w:pStyle w:val="Compact"/>
        <w:numPr>
          <w:ilvl w:val="0"/>
          <w:numId w:val="1006"/>
        </w:numPr>
      </w:pPr>
      <w:r>
        <w:t xml:space="preserve">For anything that parses structured documents: disable external-entity resolution and</w:t>
      </w:r>
      <w:r>
        <w:t xml:space="preserve"> </w:t>
      </w:r>
      <w:r>
        <w:t xml:space="preserve">document-type processing, size-limit payloads against a schema, apply that boundary's resource</w:t>
      </w:r>
      <w:r>
        <w:t xml:space="preserve"> </w:t>
      </w:r>
      <w:r>
        <w:t xml:space="preserve">bounds from</w:t>
      </w:r>
      <w:r>
        <w:t xml:space="preserve"> </w:t>
      </w:r>
      <w:hyperlink w:anchor="Xac02c7d32d5bb277c9e44f3436addfe1b1747df">
        <w:r>
          <w:rPr>
            <w:rStyle w:val="Hyperlink"/>
          </w:rPr>
          <w:t xml:space="preserve">section 2</w:t>
        </w:r>
      </w:hyperlink>
      <w:r>
        <w:t xml:space="preserve"> </w:t>
      </w:r>
      <w:r>
        <w:t xml:space="preserve">rather than a rate</w:t>
      </w:r>
      <w:r>
        <w:t xml:space="preserve"> </w:t>
      </w:r>
      <w:r>
        <w:t xml:space="preserve">limit and timeout invented here, and never return internal detail in a fault response.</w:t>
      </w:r>
    </w:p>
    <w:p>
      <w:pPr>
        <w:pStyle w:val="Compact"/>
        <w:numPr>
          <w:ilvl w:val="0"/>
          <w:numId w:val="1006"/>
        </w:numPr>
      </w:pPr>
      <w:r>
        <w:t xml:space="preserve">For file handling: confine reads and writes to configured directories and canonicalise paths so</w:t>
      </w:r>
      <w:r>
        <w:t xml:space="preserve"> </w:t>
      </w:r>
      <w:r>
        <w:t xml:space="preserve">traversal and symlink escapes are rejected. Validate type and size by content rather than</w:t>
      </w:r>
      <w:r>
        <w:t xml:space="preserve"> </w:t>
      </w:r>
      <w:r>
        <w:t xml:space="preserve">extension. Write atomically then rename so a partial file is never processed. Never place files on</w:t>
      </w:r>
      <w:r>
        <w:t xml:space="preserve"> </w:t>
      </w:r>
      <w:r>
        <w:t xml:space="preserve">an executable or served path, and never execute file contents.</w:t>
      </w:r>
    </w:p>
    <w:p>
      <w:pPr>
        <w:pStyle w:val="Compact"/>
        <w:numPr>
          <w:ilvl w:val="0"/>
          <w:numId w:val="1006"/>
        </w:numPr>
      </w:pPr>
      <w:r>
        <w:t xml:space="preserve">Use vetted cryptographic libraries. Never roll your own.</w:t>
      </w:r>
    </w:p>
    <w:p>
      <w:pPr>
        <w:pStyle w:val="Compact"/>
        <w:numPr>
          <w:ilvl w:val="0"/>
          <w:numId w:val="1006"/>
        </w:numPr>
      </w:pPr>
      <w:r>
        <w:t xml:space="preserve">Fail closed on error. Never log secrets or restricted data, as</w:t>
      </w:r>
      <w:r>
        <w:t xml:space="preserve"> </w:t>
      </w:r>
      <w:hyperlink w:anchor="Xf8794b0126bc78285fb10778097a0695650e57d">
        <w:r>
          <w:rPr>
            <w:rStyle w:val="Hyperlink"/>
          </w:rPr>
          <w:t xml:space="preserve">section 1's</w:t>
        </w:r>
      </w:hyperlink>
      <w:r>
        <w:t xml:space="preserve"> </w:t>
      </w:r>
      <w:r>
        <w:t xml:space="preserve">table defines it.</w:t>
      </w:r>
    </w:p>
    <w:p>
      <w:pPr>
        <w:pStyle w:val="FirstParagraph"/>
      </w:pPr>
      <w:r>
        <w:t xml:space="preserve">Two more are already owned elsewhere on this site, and are named here only so the enumeration is</w:t>
      </w:r>
      <w:r>
        <w:t xml:space="preserve"> </w:t>
      </w:r>
      <w:r>
        <w:t xml:space="preserve">complete: treating everything an agent reads as data rather than instructions, and verifying a</w:t>
      </w:r>
      <w:r>
        <w:t xml:space="preserve"> </w:t>
      </w:r>
      <w:r>
        <w:t xml:space="preserve">dependency's identity before adding it. Both are covered in</w:t>
      </w:r>
      <w:r>
        <w:t xml:space="preserve"> </w:t>
      </w:r>
      <w:hyperlink r:id="rId21">
        <w:r>
          <w:rPr>
            <w:rStyle w:val="Hyperlink"/>
          </w:rPr>
          <w:t xml:space="preserve">CI and standards</w:t>
        </w:r>
      </w:hyperlink>
      <w:r>
        <w:t xml:space="preserve">.</w:t>
      </w:r>
    </w:p>
    <w:p>
      <w:r>
        <w:pict>
          <v:rect style="width:0;height:1.5pt" o:hralign="center" o:hrstd="t" o:hr="t"/>
        </w:pict>
      </w:r>
    </w:p>
    <w:bookmarkEnd w:id="22"/>
    <w:bookmarkStart w:id="27" w:name="Xd0d2e3c2022a6968f9346992769e0293d735ca2"/>
    <w:p>
      <w:pPr>
        <w:pStyle w:val="Heading2"/>
      </w:pPr>
      <w:r>
        <w:t xml:space="preserve">4. Review, and what to do when there is no second reviewer</w:t>
      </w:r>
    </w:p>
    <w:p>
      <w:pPr>
        <w:pStyle w:val="FirstParagraph"/>
      </w:pPr>
      <w:r>
        <w:t xml:space="preserve">Every change is peer-reviewed, static analysis and dependency analysis run on it, and the review also</w:t>
      </w:r>
      <w:r>
        <w:t xml:space="preserve"> </w:t>
      </w:r>
      <w:r>
        <w:t xml:space="preserve">confirms the change conforms to the acceptance criteria of whatever specified it.</w:t>
      </w:r>
    </w:p>
    <w:p>
      <w:pPr>
        <w:pStyle w:val="BodyText"/>
      </w:pPr>
      <w:r>
        <w:t xml:space="preserve">That is the requirement. Many projects cannot meet it, and the honest response is not to redefine</w:t>
      </w:r>
      <w:r>
        <w:t xml:space="preserve"> </w:t>
      </w:r>
      <w:r>
        <w:t xml:space="preserve">"reviewed" until it fits.</w:t>
      </w:r>
    </w:p>
    <w:bookmarkStart w:id="23" w:name="X201f980f972ea0e4b6566ffddea29bd74691ffd"/>
    <w:p>
      <w:pPr>
        <w:pStyle w:val="Heading3"/>
      </w:pPr>
      <w:r>
        <w:t xml:space="preserve">Self-review is a documented deviation, not a satisfied control</w:t>
      </w:r>
    </w:p>
    <w:p>
      <w:pPr>
        <w:pStyle w:val="FirstParagraph"/>
      </w:pPr>
      <w:r>
        <w:t xml:space="preserve">Record it as a deviation. Name the control that cannot be met. Name the compensating set actually in</w:t>
      </w:r>
      <w:r>
        <w:t xml:space="preserve"> </w:t>
      </w:r>
      <w:r>
        <w:t xml:space="preserve">force -- typically blocking static analysis and dependency audit that cannot be waived, AI-run review</w:t>
      </w:r>
      <w:r>
        <w:t xml:space="preserve"> </w:t>
      </w:r>
      <w:r>
        <w:t xml:space="preserve">that a human arbitrates, branch protection with required checks, and no direct pushes to the trunk.</w:t>
      </w:r>
      <w:r>
        <w:t xml:space="preserve"> </w:t>
      </w:r>
      <w:r>
        <w:t xml:space="preserve">Name the event that ends the deviation, which is usually a second maintainer joining.</w:t>
      </w:r>
    </w:p>
    <w:p>
      <w:pPr>
        <w:pStyle w:val="BodyText"/>
      </w:pPr>
      <w:r>
        <w:t xml:space="preserve">Then constrain the wording. The compensating set is a</w:t>
      </w:r>
      <w:r>
        <w:t xml:space="preserve"> </w:t>
      </w:r>
      <w:r>
        <w:rPr>
          <w:b/>
          <w:bCs/>
        </w:rPr>
        <w:t xml:space="preserve">compensating control, explicitly not an</w:t>
      </w:r>
      <w:r>
        <w:rPr>
          <w:b/>
          <w:bCs/>
        </w:rPr>
        <w:t xml:space="preserve"> </w:t>
      </w:r>
      <w:r>
        <w:rPr>
          <w:b/>
          <w:bCs/>
        </w:rPr>
        <w:t xml:space="preserve">independent audit</w:t>
      </w:r>
      <w:r>
        <w:t xml:space="preserve">, and no published claim may imply otherwise.</w:t>
      </w:r>
    </w:p>
    <w:bookmarkEnd w:id="23"/>
    <w:bookmarkStart w:id="25"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The study used a 2022-era model, so</w:t>
      </w:r>
      <w:r>
        <w:t xml:space="preserve"> </w:t>
      </w:r>
      <w:r>
        <w:t xml:space="preserve">re-baseline the magnitude rather than quoting it; the direction is what matters here.</w:t>
      </w:r>
    </w:p>
    <w:p>
      <w:pPr>
        <w:pStyle w:val="BodyText"/>
      </w:pPr>
      <w:r>
        <w:t xml:space="preserve">The citation and its hedge live in one place -- the evidence table in</w:t>
      </w:r>
      <w:r>
        <w:t xml:space="preserve"> </w:t>
      </w:r>
      <w:hyperlink r:id="rId24">
        <w:r>
          <w:rPr>
            <w:rStyle w:val="Hyperlink"/>
          </w:rPr>
          <w:t xml:space="preserve">Judging code quality, whoever or whatever wrote it</w:t>
        </w:r>
      </w:hyperlink>
      <w:r>
        <w:t xml:space="preserve">.</w:t>
      </w:r>
    </w:p>
    <w:p>
      <w:pPr>
        <w:pStyle w:val="BodyText"/>
      </w:pPr>
      <w:r>
        <w:t xml:space="preserve">That effect bites hardest exactly in the self-review case, which is the argument for the one control</w:t>
      </w:r>
      <w:r>
        <w:t xml:space="preserve"> </w:t>
      </w:r>
      <w:r>
        <w:t xml:space="preserve">independent of the author's confidence: an adversarial check on whether the tests assert anything.</w:t>
      </w:r>
      <w:r>
        <w:t xml:space="preserve"> </w:t>
      </w:r>
      <w:r>
        <w:t xml:space="preserve">See</w:t>
      </w:r>
      <w:r>
        <w:t xml:space="preserve"> </w:t>
      </w:r>
      <w:r>
        <w:rPr>
          <w:i/>
          <w:iCs/>
        </w:rPr>
        <w:t xml:space="preserve">Judge tests by their assertions, not their presence or their coverage</w:t>
      </w:r>
      <w:r>
        <w:t xml:space="preserve"> </w:t>
      </w:r>
      <w:r>
        <w:t xml:space="preserve">in</w:t>
      </w:r>
      <w:r>
        <w:t xml:space="preserve"> </w:t>
      </w:r>
      <w:hyperlink r:id="rId21">
        <w:r>
          <w:rPr>
            <w:rStyle w:val="Hyperlink"/>
          </w:rPr>
          <w:t xml:space="preserve">CI and standards</w:t>
        </w:r>
      </w:hyperlink>
      <w:r>
        <w:t xml:space="preserve">.</w:t>
      </w:r>
    </w:p>
    <w:bookmarkEnd w:id="25"/>
    <w:bookmarkStart w:id="26" w:name="X8df9a15527c9258113a544c92aa72dbd7dd03b7"/>
    <w:p>
      <w:pPr>
        <w:pStyle w:val="Heading3"/>
      </w:pPr>
      <w:r>
        <w:t xml:space="preserve">The comprehension bar, and two additions to it</w:t>
      </w:r>
    </w:p>
    <w:p>
      <w:pPr>
        <w:pStyle w:val="FirstParagraph"/>
      </w:pPr>
      <w:r>
        <w:t xml:space="preserve">The comprehension bar that goes with review -- reject code you cannot explain, with assistance in</w:t>
      </w:r>
      <w:r>
        <w:t xml:space="preserve"> </w:t>
      </w:r>
      <w:r>
        <w:t xml:space="preserve">reaching the explanation being acceptable -- is settled on this site under that name in the same</w:t>
      </w:r>
      <w:r>
        <w:t xml:space="preserve"> </w:t>
      </w:r>
      <w:r>
        <w:t xml:space="preserve">document.</w:t>
      </w:r>
    </w:p>
    <w:p>
      <w:pPr>
        <w:pStyle w:val="BodyText"/>
      </w:pPr>
      <w:r>
        <w:t xml:space="preserve">Two small additions are worth carrying. An AI coding assistant's explanation can be confidently</w:t>
      </w:r>
      <w:r>
        <w:t xml:space="preserve"> </w:t>
      </w:r>
      <w:r>
        <w:t xml:space="preserve">wrong in the same way its code can, so the human verifies the explanation rather than accepting it.</w:t>
      </w:r>
      <w:r>
        <w:t xml:space="preserve"> </w:t>
      </w:r>
      <w:r>
        <w:t xml:space="preserve">A periodic cold spot-check of an already-merged assisted change is a cheap way to detect that</w:t>
      </w:r>
      <w:r>
        <w:t xml:space="preserve"> </w:t>
      </w:r>
      <w:r>
        <w:t xml:space="preserve">explaining has drifted into rubber-stamping.</w:t>
      </w:r>
    </w:p>
    <w:p>
      <w:r>
        <w:pict>
          <v:rect style="width:0;height:1.5pt" o:hralign="center" o:hrstd="t" o:hr="t"/>
        </w:pict>
      </w:r>
    </w:p>
    <w:bookmarkEnd w:id="26"/>
    <w:bookmarkEnd w:id="27"/>
    <w:bookmarkStart w:id="33"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 and</w:t>
      </w:r>
      <w:r>
        <w:t xml:space="preserve"> </w:t>
      </w:r>
      <w:r>
        <w:t xml:space="preserve">scheduled-only jobs are useful and are not coverage. Classify every nominally-security job as one or</w:t>
      </w:r>
      <w:r>
        <w:t xml:space="preserve"> </w:t>
      </w:r>
      <w:r>
        <w:t xml:space="preserve">the other and write the classification down, because the two are indistinguishable from a green</w:t>
      </w:r>
      <w:r>
        <w:t xml:space="preserve"> </w:t>
      </w:r>
      <w:r>
        <w:t xml:space="preserve">badge.</w:t>
      </w:r>
    </w:p>
    <w:bookmarkStart w:id="29" w:name="what-must-block-and-may-not-be-waived"/>
    <w:p>
      <w:pPr>
        <w:pStyle w:val="Heading3"/>
      </w:pPr>
      <w:r>
        <w:t xml:space="preserve">What must block, and may not be waived</w:t>
      </w:r>
    </w:p>
    <w:p>
      <w:pPr>
        <w:pStyle w:val="FirstParagraph"/>
      </w:pPr>
      <w:r>
        <w:t xml:space="preserve">The following must block a change, and may not be waived by an author:</w:t>
      </w:r>
    </w:p>
    <w:p>
      <w:pPr>
        <w:pStyle w:val="Compact"/>
        <w:numPr>
          <w:ilvl w:val="0"/>
          <w:numId w:val="1007"/>
        </w:numPr>
      </w:pPr>
      <w:r>
        <w:t xml:space="preserve">Static analysis, red on any new finding from a clean baseline.</w:t>
      </w:r>
    </w:p>
    <w:p>
      <w:pPr>
        <w:pStyle w:val="Compact"/>
        <w:numPr>
          <w:ilvl w:val="0"/>
          <w:numId w:val="1007"/>
        </w:numPr>
      </w:pPr>
      <w:r>
        <w:t xml:space="preserve">Dependency vulnerability analysis, red on any new advisory.</w:t>
      </w:r>
    </w:p>
    <w:p>
      <w:pPr>
        <w:pStyle w:val="Compact"/>
        <w:numPr>
          <w:ilvl w:val="0"/>
          <w:numId w:val="1007"/>
        </w:numPr>
      </w:pPr>
      <w:r>
        <w:t xml:space="preserve">Secret scanning, over the full history, not only the diff.</w:t>
      </w:r>
    </w:p>
    <w:p>
      <w:pPr>
        <w:pStyle w:val="FirstParagraph"/>
      </w:pPr>
      <w:r>
        <w:t xml:space="preserve">Mechanics for all three are already published.</w:t>
      </w:r>
      <w:r>
        <w:t xml:space="preserve"> </w:t>
      </w:r>
      <w:hyperlink r:id="rId21">
        <w:r>
          <w:rPr>
            <w:rStyle w:val="Hyperlink"/>
          </w:rPr>
          <w:t xml:space="preserve">CI and standards</w:t>
        </w:r>
      </w:hyperlink>
      <w:r>
        <w:t xml:space="preserve"> </w:t>
      </w:r>
      <w:r>
        <w:t xml:space="preserve">covers</w:t>
      </w:r>
      <w:r>
        <w:t xml:space="preserve"> </w:t>
      </w:r>
      <w:r>
        <w:t xml:space="preserve">grandfathering to a clean baseline and then ratcheting, and running supply-chain audits on a schedule</w:t>
      </w:r>
      <w:r>
        <w:t xml:space="preserve"> </w:t>
      </w:r>
      <w:r>
        <w:t xml:space="preserve">as well as on changes. It also covers the two-layer shape where a local hook gives fast feedback and</w:t>
      </w:r>
      <w:r>
        <w:t xml:space="preserve"> </w:t>
      </w:r>
      <w:r>
        <w:t xml:space="preserve">the pipeline is the authoritative gate.</w:t>
      </w:r>
    </w:p>
    <w:p>
      <w:pPr>
        <w:pStyle w:val="BodyText"/>
      </w:pPr>
      <w:r>
        <w:t xml:space="preserve">Fail-closed forbidden-content scanning and the three ways a scanner lies are in</w:t>
      </w:r>
      <w:r>
        <w:t xml:space="preserve"> </w:t>
      </w:r>
      <w:hyperlink r:id="rId28">
        <w:r>
          <w:rPr>
            <w:rStyle w:val="Hyperlink"/>
          </w:rPr>
          <w:t xml:space="preserve">the leak gate</w:t>
        </w:r>
      </w:hyperlink>
      <w:r>
        <w:t xml:space="preserve">.</w:t>
      </w:r>
    </w:p>
    <w:p>
      <w:pPr>
        <w:pStyle w:val="BodyText"/>
      </w:pPr>
      <w:r>
        <w:t xml:space="preserve">The scheduled malformed-input harness described in</w:t>
      </w:r>
      <w:r>
        <w:t xml:space="preserve"> </w:t>
      </w:r>
      <w:hyperlink w:anchor="Xac02c7d32d5bb277c9e44f3436addfe1b1747df">
        <w:r>
          <w:rPr>
            <w:rStyle w:val="Hyperlink"/>
          </w:rPr>
          <w:t xml:space="preserve">section 2</w:t>
        </w:r>
      </w:hyperlink>
      <w:r>
        <w:t xml:space="preserve"> </w:t>
      </w:r>
      <w:r>
        <w:t xml:space="preserve">is classified here, explicitly,</w:t>
      </w:r>
      <w:r>
        <w:t xml:space="preserve"> </w:t>
      </w:r>
      <w:r>
        <w:t xml:space="preserve">as</w:t>
      </w:r>
      <w:r>
        <w:t xml:space="preserve"> </w:t>
      </w:r>
      <w:r>
        <w:rPr>
          <w:b/>
          <w:bCs/>
        </w:rPr>
        <w:t xml:space="preserve">advisory</w:t>
      </w:r>
      <w:r>
        <w:t xml:space="preserve">. It is a real control and it is not coverage. Both halves of that have to be written</w:t>
      </w:r>
      <w:r>
        <w:t xml:space="preserve"> </w:t>
      </w:r>
      <w:r>
        <w:t xml:space="preserve">down, or the tool inventory grows while the blocking set stands still.</w:t>
      </w:r>
    </w:p>
    <w:bookmarkEnd w:id="29"/>
    <w:bookmarkStart w:id="30"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 without</w:t>
      </w:r>
      <w:r>
        <w:t xml:space="preserve"> </w:t>
      </w:r>
      <w:r>
        <w:t xml:space="preserve">executing anything.</w:t>
      </w:r>
      <w:r>
        <w:t xml:space="preserve"> </w:t>
      </w:r>
      <w:hyperlink w:anchor="Xac02c7d32d5bb277c9e44f3436addfe1b1747df">
        <w:r>
          <w:rPr>
            <w:rStyle w:val="Hyperlink"/>
          </w:rPr>
          <w:t xml:space="preserve">Section 2</w:t>
        </w:r>
      </w:hyperlink>
      <w:r>
        <w:t xml:space="preserve">'s</w:t>
      </w:r>
      <w:r>
        <w:t xml:space="preserve"> </w:t>
      </w:r>
      <w:r>
        <w:t xml:space="preserve">malformed-input harness is the only control this document states that runs the built code against</w:t>
      </w:r>
      <w:r>
        <w:t xml:space="preserve"> </w:t>
      </w:r>
      <w:r>
        <w:t xml:space="preserve">input it did not expect. A scheduled job with no stated trigger drifts into being a green light</w:t>
      </w:r>
      <w:r>
        <w:t xml:space="preserve"> </w:t>
      </w:r>
      <w:r>
        <w:t xml:space="preserve">nobody asked a question of. Give it a policy, in three parts.</w:t>
      </w:r>
    </w:p>
    <w:p>
      <w:pPr>
        <w:pStyle w:val="BodyText"/>
      </w:pPr>
      <w:r>
        <w:t xml:space="preserve">Trigger a dynamic pass on an event, and name the events. At least these, and each is answerable from</w:t>
      </w:r>
      <w:r>
        <w:t xml:space="preserve"> </w:t>
      </w:r>
      <w:r>
        <w:t xml:space="preserve">a diff rather than from a judgment:</w:t>
      </w:r>
    </w:p>
    <w:p>
      <w:pPr>
        <w:pStyle w:val="Compact"/>
        <w:numPr>
          <w:ilvl w:val="0"/>
          <w:numId w:val="1008"/>
        </w:numPr>
      </w:pPr>
      <w:r>
        <w:t xml:space="preserve">A boundary is added to</w:t>
      </w:r>
      <w:r>
        <w:t xml:space="preserve"> </w:t>
      </w:r>
      <w:hyperlink w:anchor="Xac02c7d32d5bb277c9e44f3436addfe1b1747df">
        <w:r>
          <w:rPr>
            <w:rStyle w:val="Hyperlink"/>
          </w:rPr>
          <w:t xml:space="preserve">section 2</w:t>
        </w:r>
      </w:hyperlink>
      <w:r>
        <w:t xml:space="preserve">'s list,</w:t>
      </w:r>
      <w:r>
        <w:t xml:space="preserve"> </w:t>
      </w:r>
      <w:r>
        <w:t xml:space="preserve">or the parser, decoder or deserializer behind an existing one is replaced.</w:t>
      </w:r>
    </w:p>
    <w:p>
      <w:pPr>
        <w:pStyle w:val="Compact"/>
        <w:numPr>
          <w:ilvl w:val="0"/>
          <w:numId w:val="1008"/>
        </w:numPr>
      </w:pPr>
      <w:r>
        <w:t xml:space="preserve">A dependency that does the parsing or decoding at a boundary crosses a major version.</w:t>
      </w:r>
    </w:p>
    <w:p>
      <w:pPr>
        <w:pStyle w:val="Compact"/>
        <w:numPr>
          <w:ilvl w:val="0"/>
          <w:numId w:val="1008"/>
        </w:numPr>
      </w:pPr>
      <w:r>
        <w:t xml:space="preserve">A finding of this class arrives from any source -- an advisory, a report, a crash in the field. The</w:t>
      </w:r>
      <w:r>
        <w:t xml:space="preserve"> </w:t>
      </w:r>
      <w:r>
        <w:t xml:space="preserve">confirming run is</w:t>
      </w:r>
      <w:r>
        <w:t xml:space="preserve"> </w:t>
      </w:r>
      <w:hyperlink w:anchor="Xc32b009c31e5f6409196a95ed4c1406da6dc82b">
        <w:r>
          <w:rPr>
            <w:rStyle w:val="Hyperlink"/>
          </w:rPr>
          <w:t xml:space="preserve">section 12</w:t>
        </w:r>
      </w:hyperlink>
      <w:r>
        <w:t xml:space="preserve">'s, and it has to mirror the</w:t>
      </w:r>
      <w:r>
        <w:t xml:space="preserve"> </w:t>
      </w:r>
      <w:r>
        <w:t xml:space="preserve">original.</w:t>
      </w:r>
    </w:p>
    <w:p>
      <w:pPr>
        <w:pStyle w:val="Compact"/>
        <w:numPr>
          <w:ilvl w:val="0"/>
          <w:numId w:val="1008"/>
        </w:numPr>
      </w:pPr>
      <w:r>
        <w:t xml:space="preserve">A release changes the ingress surface.</w:t>
      </w:r>
    </w:p>
    <w:p>
      <w:pPr>
        <w:pStyle w:val="FirstParagraph"/>
      </w:pPr>
      <w:r>
        <w:t xml:space="preserve">The schedule</w:t>
      </w:r>
      <w:r>
        <w:t xml:space="preserve"> </w:t>
      </w:r>
      <w:hyperlink w:anchor="Xac02c7d32d5bb277c9e44f3436addfe1b1747df">
        <w:r>
          <w:rPr>
            <w:rStyle w:val="Hyperlink"/>
          </w:rPr>
          <w:t xml:space="preserve">section 2</w:t>
        </w:r>
      </w:hyperlink>
      <w:r>
        <w:t xml:space="preserve"> </w:t>
      </w:r>
      <w:r>
        <w:t xml:space="preserve">already sets stays</w:t>
      </w:r>
      <w:r>
        <w:t xml:space="preserve"> </w:t>
      </w:r>
      <w:r>
        <w:t xml:space="preserve">where it is, and it is doing a different job. A fuzzer finds more with more machine time, so the</w:t>
      </w:r>
      <w:r>
        <w:t xml:space="preserve"> </w:t>
      </w:r>
      <w:r>
        <w:t xml:space="preserve">scheduled run is how the corpus accumulates. The triggers are what make the pass answer a question.</w:t>
      </w:r>
      <w:r>
        <w:t xml:space="preserve"> </w:t>
      </w:r>
      <w:r>
        <w:t xml:space="preserve">Neither replaces the other, and a project running only the schedule has a control that cannot respond</w:t>
      </w:r>
      <w:r>
        <w:t xml:space="preserve"> </w:t>
      </w:r>
      <w:r>
        <w:t xml:space="preserve">to anything.</w:t>
      </w:r>
    </w:p>
    <w:p>
      <w:pPr>
        <w:pStyle w:val="BodyText"/>
      </w:pPr>
      <w:r>
        <w:t xml:space="preserve">This is not a fifth item for</w:t>
      </w:r>
      <w:r>
        <w:t xml:space="preserve"> </w:t>
      </w:r>
      <w:hyperlink w:anchor="X81f17fbbfa4ed8bd23a7201a27e52cc85d71859">
        <w:r>
          <w:rPr>
            <w:rStyle w:val="Hyperlink"/>
          </w:rPr>
          <w:t xml:space="preserve">section 14</w:t>
        </w:r>
      </w:hyperlink>
      <w:r>
        <w:t xml:space="preserve">. That pass</w:t>
      </w:r>
      <w:r>
        <w:t xml:space="preserve"> </w:t>
      </w:r>
      <w:r>
        <w:t xml:space="preserve">is capped at four, and these are events with a diff behind them rather than calendar entries. The</w:t>
      </w:r>
      <w:r>
        <w:t xml:space="preserve"> </w:t>
      </w:r>
      <w:r>
        <w:t xml:space="preserve">record required below is a field in an entry that pass already writes, so the four-item cap holds and</w:t>
      </w:r>
      <w:r>
        <w:t xml:space="preserve"> </w:t>
      </w:r>
      <w:r>
        <w:t xml:space="preserve">nothing here adds a row to the release gate in</w:t>
      </w:r>
      <w:r>
        <w:t xml:space="preserve"> </w:t>
      </w:r>
      <w:hyperlink w:anchor="X166d910d570b75bb8e35866cbb9a8eb190f1767">
        <w:r>
          <w:rPr>
            <w:rStyle w:val="Hyperlink"/>
          </w:rPr>
          <w:t xml:space="preserve">section 16</w:t>
        </w:r>
      </w:hyperlink>
      <w:r>
        <w:t xml:space="preserve">.</w:t>
      </w:r>
    </w:p>
    <w:p>
      <w:pPr>
        <w:pStyle w:val="BodyText"/>
      </w:pPr>
      <w:r>
        <w:t xml:space="preserve">Write down what no trigger reached, in the record somebody already writes.</w:t>
      </w:r>
      <w:r>
        <w:t xml:space="preserve"> </w:t>
      </w:r>
      <w:hyperlink w:anchor="X81f17fbbfa4ed8bd23a7201a27e52cc85d71859">
        <w:r>
          <w:rPr>
            <w:rStyle w:val="Hyperlink"/>
          </w:rPr>
          <w:t xml:space="preserve">Section 14</w:t>
        </w:r>
      </w:hyperlink>
      <w:r>
        <w:t xml:space="preserve">'s periodic</w:t>
      </w:r>
      <w:r>
        <w:t xml:space="preserve"> </w:t>
      </w:r>
      <w:r>
        <w:t xml:space="preserve">pass produces a dated entry recording what was checked and what changed; dynamic testing is a line in</w:t>
      </w:r>
      <w:r>
        <w:t xml:space="preserve"> </w:t>
      </w:r>
      <w:r>
        <w:t xml:space="preserve">that entry. Where no trigger has fired since the last pass, the line says dynamic testing did not run</w:t>
      </w:r>
      <w:r>
        <w:t xml:space="preserve"> </w:t>
      </w:r>
      <w:r>
        <w:t xml:space="preserve">and carries that pass's date, rather than inheriting the last green run. That places the honesty</w:t>
      </w:r>
      <w:r>
        <w:t xml:space="preserve"> </w:t>
      </w:r>
      <w:r>
        <w:t xml:space="preserve">control on an existing artifact with an existing owner and cadence, which is the only way a record of</w:t>
      </w:r>
      <w:r>
        <w:t xml:space="preserve"> </w:t>
      </w:r>
      <w:r>
        <w:t xml:space="preserve">a non-run ever gets written. Where a pass did run, record its reach and not only its result. The</w:t>
      </w:r>
      <w:r>
        <w:t xml:space="preserve"> </w:t>
      </w:r>
      <w:r>
        <w:t xml:space="preserve">harness gets at parser, decoder and boundary surfaces, and does not get at authorization decisions,</w:t>
      </w:r>
      <w:r>
        <w:t xml:space="preserve"> </w:t>
      </w:r>
      <w:r>
        <w:t xml:space="preserve">business logic, multi-step flows, or state held across requests. Those are surfaces an external</w:t>
      </w:r>
      <w:r>
        <w:t xml:space="preserve"> </w:t>
      </w:r>
      <w:r>
        <w:t xml:space="preserve">engagement reaches and this does not, which is</w:t>
      </w:r>
      <w:r>
        <w:t xml:space="preserve"> </w:t>
      </w:r>
      <w:hyperlink w:anchor="X635127d1d4d4de93cff91f98240bebbfa4bd556">
        <w:r>
          <w:rPr>
            <w:rStyle w:val="Hyperlink"/>
          </w:rPr>
          <w:t xml:space="preserve">section 15</w:t>
        </w:r>
      </w:hyperlink>
      <w:r>
        <w:t xml:space="preserve">'s gap and stays open however green this is.</w:t>
      </w:r>
    </w:p>
    <w:p>
      <w:pPr>
        <w:pStyle w:val="BodyText"/>
      </w:pPr>
      <w:r>
        <w:t xml:space="preserve">The honest limit is the one</w:t>
      </w:r>
      <w:r>
        <w:t xml:space="preserve"> </w:t>
      </w:r>
      <w:hyperlink w:anchor="Xac02c7d32d5bb277c9e44f3436addfe1b1747df">
        <w:r>
          <w:rPr>
            <w:rStyle w:val="Hyperlink"/>
          </w:rPr>
          <w:t xml:space="preserve">section 2</w:t>
        </w:r>
      </w:hyperlink>
      <w:r>
        <w:t xml:space="preserve"> </w:t>
      </w:r>
      <w:r>
        <w:t xml:space="preserve">already carries, and it is the one that decides whether any of this meant anything: a harness that</w:t>
      </w:r>
      <w:r>
        <w:t xml:space="preserve"> </w:t>
      </w:r>
      <w:r>
        <w:t xml:space="preserve">never gets past the first parse call is the dynamic-testing equivalent of a clean run on a weak</w:t>
      </w:r>
      <w:r>
        <w:t xml:space="preserve"> </w:t>
      </w:r>
      <w:r>
        <w:t xml:space="preserve">ruleset. The coverage question is what the corpus reached, never how long it ran.</w:t>
      </w:r>
    </w:p>
    <w:p>
      <w:pPr>
        <w:pStyle w:val="BodyText"/>
      </w:pPr>
      <w:r>
        <w:t xml:space="preserve">Nothing above blocks -- this section's classification of the harness as advisory does not change, and</w:t>
      </w:r>
      <w:r>
        <w:t xml:space="preserve"> </w:t>
      </w:r>
      <w:r>
        <w:t xml:space="preserve">a trigger firing produces a pass and a record, not a red change. And nothing here is borrowed at the</w:t>
      </w:r>
      <w:r>
        <w:t xml:space="preserve"> </w:t>
      </w:r>
      <w:r>
        <w:t xml:space="preserve">technique level. SP 800-115 is the publication whose subject this is, it is cited on this page for</w:t>
      </w:r>
      <w:r>
        <w:t xml:space="preserve"> </w:t>
      </w:r>
      <w:r>
        <w:t xml:space="preserve">its process material only, and its technique and tooling inventory has a row in the coverage table</w:t>
      </w:r>
      <w:r>
        <w:t xml:space="preserve"> </w:t>
      </w:r>
      <w:r>
        <w:t xml:space="preserve">saying so. That is why the trigger list and the reach statement are unmarked and this document's own.</w:t>
      </w:r>
    </w:p>
    <w:p>
      <w:pPr>
        <w:pStyle w:val="BodyText"/>
      </w:pPr>
      <w:r>
        <w:t xml:space="preserve">Normative force: a triggered pass and a dated record, recommended. Nothing blocks, and no release</w:t>
      </w:r>
      <w:r>
        <w:t xml:space="preserve"> </w:t>
      </w:r>
      <w:r>
        <w:t xml:space="preserve">condition changes.</w:t>
      </w:r>
    </w:p>
    <w:bookmarkEnd w:id="30"/>
    <w:bookmarkStart w:id="31" w:name="X8e84579fd545af19ab8cb79c93491972da372eb"/>
    <w:p>
      <w:pPr>
        <w:pStyle w:val="Heading3"/>
      </w:pPr>
      <w:r>
        <w:t xml:space="preserve">Three additions specific to a security posture</w:t>
      </w:r>
    </w:p>
    <w:p>
      <w:pPr>
        <w:pStyle w:val="FirstParagraph"/>
      </w:pPr>
      <w:r>
        <w:t xml:space="preserve">A clean run is a start condition, not a certificate. Zero findings on a weak ruleset proves nothing</w:t>
      </w:r>
      <w:r>
        <w:t xml:space="preserve"> </w:t>
      </w:r>
      <w:r>
        <w:t xml:space="preserve">at all. What the clean baseline buys you is the ability to enforce red-on-regression; that is the</w:t>
      </w:r>
      <w:r>
        <w:t xml:space="preserve"> </w:t>
      </w:r>
      <w:r>
        <w:t xml:space="preserve">whole of its value.</w:t>
      </w:r>
    </w:p>
    <w:p>
      <w:pPr>
        <w:pStyle w:val="BodyText"/>
      </w:pPr>
      <w:r>
        <w:t xml:space="preserve">Confirm the gate can see the class it exists to catch. A green gate is evidence only once you have</w:t>
      </w:r>
      <w:r>
        <w:t xml:space="preserve"> </w:t>
      </w:r>
      <w:r>
        <w:t xml:space="preserve">fired the failure class at it and watched it go red. This is stated in full under</w:t>
      </w:r>
      <w:r>
        <w:t xml:space="preserve"> </w:t>
      </w:r>
      <w:r>
        <w:rPr>
          <w:i/>
          <w:iCs/>
        </w:rPr>
        <w:t xml:space="preserve">Attack the control</w:t>
      </w:r>
      <w:r>
        <w:rPr>
          <w:i/>
          <w:iCs/>
        </w:rPr>
        <w:t xml:space="preserve"> </w:t>
      </w:r>
      <w:r>
        <w:rPr>
          <w:i/>
          <w:iCs/>
        </w:rPr>
        <w:t xml:space="preserve">with the failure class it was built to catch</w:t>
      </w:r>
      <w:r>
        <w:t xml:space="preserve"> </w:t>
      </w:r>
      <w:r>
        <w:t xml:space="preserve">in</w:t>
      </w:r>
      <w:r>
        <w:t xml:space="preserve"> </w:t>
      </w:r>
      <w:hyperlink r:id="rId21">
        <w:r>
          <w:rPr>
            <w:rStyle w:val="Hyperlink"/>
          </w:rPr>
          <w:t xml:space="preserve">CI and standards</w:t>
        </w:r>
      </w:hyperlink>
      <w:r>
        <w:t xml:space="preserve">, and it applies to every check in this section.</w:t>
      </w:r>
    </w:p>
    <w:p>
      <w:pPr>
        <w:pStyle w:val="BodyText"/>
      </w:pPr>
      <w:r>
        <w:t xml:space="preserve">The per-finding form of the same discipline -- a finding is closed by its own check going green on</w:t>
      </w:r>
      <w:r>
        <w:t xml:space="preserve"> </w:t>
      </w:r>
      <w:r>
        <w:t xml:space="preserve">the commit carrying the fix, never by the fix merging -- is in</w:t>
      </w:r>
      <w:r>
        <w:t xml:space="preserve"> </w:t>
      </w:r>
      <w:hyperlink w:anchor="Xc32b009c31e5f6409196a95ed4c1406da6dc82b">
        <w:r>
          <w:rPr>
            <w:rStyle w:val="Hyperlink"/>
          </w:rPr>
          <w:t xml:space="preserve">section 12</w:t>
        </w:r>
      </w:hyperlink>
      <w:r>
        <w:t xml:space="preserve">. It is one rule read at two scales, not two rules.</w:t>
      </w:r>
    </w:p>
    <w:p>
      <w:pPr>
        <w:pStyle w:val="BodyText"/>
      </w:pPr>
      <w:r>
        <w:t xml:space="preserve">Enumerate the sibling paths. A control implemented exactly where it was prompted, and missing on its</w:t>
      </w:r>
      <w:r>
        <w:t xml:space="preserve"> </w:t>
      </w:r>
      <w:r>
        <w:t xml:space="preserve">siblings, is the single most common residual after an agent-run security sweep. Encode the control as</w:t>
      </w:r>
      <w:r>
        <w:t xml:space="preserve"> </w:t>
      </w:r>
      <w:r>
        <w:t xml:space="preserve">one deterministic check shared across every path rather than as a habit applied per path.</w:t>
      </w:r>
    </w:p>
    <w:p>
      <w:pPr>
        <w:pStyle w:val="BodyText"/>
      </w:pPr>
      <w:r>
        <w:t xml:space="preserve">Record rigor and scope as two separate values for each blocking check, never as one. A check that ran</w:t>
      </w:r>
      <w:r>
        <w:t xml:space="preserve"> </w:t>
      </w:r>
      <w:r>
        <w:t xml:space="preserve">on one path at high rigor and a check that ran on every path at low rigor both report green, and no</w:t>
      </w:r>
      <w:r>
        <w:t xml:space="preserve"> </w:t>
      </w:r>
      <w:r>
        <w:t xml:space="preserve">tool will tell you which of the two you have. Against each check in the blocking list, note how deep</w:t>
      </w:r>
      <w:r>
        <w:t xml:space="preserve"> </w:t>
      </w:r>
      <w:r>
        <w:t xml:space="preserve">it looks -- a pattern match, a taint analysis, an executed test -- and how much of the surface it</w:t>
      </w:r>
      <w:r>
        <w:t xml:space="preserve"> </w:t>
      </w:r>
      <w:r>
        <w:t xml:space="preserve">covers: this module, every sibling, the whole tree. Filled in, a row reads pattern match / this</w:t>
      </w:r>
      <w:r>
        <w:t xml:space="preserve"> </w:t>
      </w:r>
      <w:r>
        <w:t xml:space="preserve">module, or taint analysis / whole tree.</w:t>
      </w:r>
    </w:p>
    <w:p>
      <w:pPr>
        <w:pStyle w:val="BodyText"/>
      </w:pPr>
      <w:r>
        <w:t xml:space="preserve">Two words per row, filled in once when the check is added, and it is the fastest way to notice that</w:t>
      </w:r>
      <w:r>
        <w:t xml:space="preserve"> </w:t>
      </w:r>
      <w:r>
        <w:t xml:space="preserve">the most rigorous check in the suite runs on one directory. The sibling rule above is the scope half</w:t>
      </w:r>
      <w:r>
        <w:t xml:space="preserve"> </w:t>
      </w:r>
      <w:r>
        <w:t xml:space="preserve">already stated on its own; this pairs it with the depth half, so neither can quietly stand in for the</w:t>
      </w:r>
      <w:r>
        <w:t xml:space="preserve"> </w:t>
      </w:r>
      <w:r>
        <w:t xml:space="preserve">other. It records what you already have, so it adds no blocking condition.</w:t>
      </w:r>
    </w:p>
    <w:bookmarkEnd w:id="31"/>
    <w:bookmarkStart w:id="32" w:name="the-security-anti-metrics"/>
    <w:p>
      <w:pPr>
        <w:pStyle w:val="Heading3"/>
      </w:pPr>
      <w:r>
        <w:t xml:space="preserve">The security anti-metrics</w:t>
      </w:r>
    </w:p>
    <w:p>
      <w:pPr>
        <w:pStyle w:val="FirstParagraph"/>
      </w:pPr>
      <w:r>
        <w:t xml:space="preserve">The site already forbids gating on a single gameable number, with the general metric evidence. These</w:t>
      </w:r>
      <w:r>
        <w:t xml:space="preserve"> </w:t>
      </w:r>
      <w:r>
        <w:t xml:space="preserve">are the security-specific badges that impersonate a verdict. Each may be surfaced as advisory</w:t>
      </w:r>
      <w:r>
        <w:t xml:space="preserve"> </w:t>
      </w:r>
      <w:r>
        <w:t xml:space="preserve">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It is not coverage, and counting citations scores nothing</w:t>
            </w:r>
          </w:p>
        </w:tc>
      </w:tr>
    </w:tbl>
    <w:p>
      <w:pPr>
        <w:pStyle w:val="BodyText"/>
      </w:pPr>
      <w:r>
        <w:rPr>
          <w:b/>
          <w:bCs/>
        </w:rPr>
        <w:t xml:space="preserve">There is no validated threshold at which a build becomes secure.</w:t>
      </w:r>
      <w:r>
        <w:t xml:space="preserve"> </w:t>
      </w:r>
      <w:r>
        <w:t xml:space="preserve">No framework supplies one --</w:t>
      </w:r>
      <w:r>
        <w:t xml:space="preserve"> </w:t>
      </w:r>
      <w:r>
        <w:t xml:space="preserve">not a blocking-check count, not a pass rate, not a remediation-time floor. Any number you adopt is</w:t>
      </w:r>
      <w:r>
        <w:t xml:space="preserve"> </w:t>
      </w:r>
      <w:r>
        <w:t xml:space="preserve">project-set and directional. Label it that way, and review it as your own data accumulates.</w:t>
      </w:r>
    </w:p>
    <w:p>
      <w:r>
        <w:pict>
          <v:rect style="width:0;height:1.5pt" o:hralign="center" o:hrstd="t" o:hr="t"/>
        </w:pict>
      </w:r>
    </w:p>
    <w:bookmarkEnd w:id="32"/>
    <w:bookmarkEnd w:id="33"/>
    <w:bookmarkStart w:id="34" w:name="X008abd79804448b13ff485fe9ff5830c953e411"/>
    <w:p>
      <w:pPr>
        <w:pStyle w:val="Heading2"/>
      </w:pPr>
      <w:r>
        <w:t xml:space="preserve">6. Secrets and repository hygiene</w:t>
      </w:r>
    </w:p>
    <w:p>
      <w:pPr>
        <w:pStyle w:val="FirstParagraph"/>
      </w:pPr>
      <w:r>
        <w:t xml:space="preserve">No secrets, keys, credentials, or restricted data ever enter the repository, and the full history</w:t>
      </w:r>
      <w:r>
        <w:t xml:space="preserve"> </w:t>
      </w:r>
      <w:r>
        <w:t xml:space="preserve">stays clean rather than only the current tree. This is not a private-repository exemption: a</w:t>
      </w:r>
      <w:r>
        <w:t xml:space="preserve"> </w:t>
      </w:r>
      <w:r>
        <w:t xml:space="preserve">repository's visibility can change, and its history travels when it does.</w:t>
      </w:r>
    </w:p>
    <w:p>
      <w:pPr>
        <w:pStyle w:val="BodyText"/>
      </w:pPr>
      <w:r>
        <w:t xml:space="preserve">The rule and its mechanics are owned by</w:t>
      </w:r>
      <w:r>
        <w:t xml:space="preserve"> </w:t>
      </w:r>
      <w:hyperlink r:id="rId28">
        <w:r>
          <w:rPr>
            <w:rStyle w:val="Hyperlink"/>
          </w:rPr>
          <w:t xml:space="preserve">the leak gate</w:t>
        </w:r>
      </w:hyperlink>
      <w:r>
        <w:t xml:space="preserve"> </w:t>
      </w:r>
      <w:r>
        <w:t xml:space="preserve">and by</w:t>
      </w:r>
      <w:r>
        <w:t xml:space="preserve"> </w:t>
      </w:r>
      <w:r>
        <w:rPr>
          <w:i/>
          <w:iCs/>
        </w:rPr>
        <w:t xml:space="preserve">Secrets and sensitive</w:t>
      </w:r>
      <w:r>
        <w:rPr>
          <w:i/>
          <w:iCs/>
        </w:rPr>
        <w:t xml:space="preserve"> </w:t>
      </w:r>
      <w:r>
        <w:rPr>
          <w:i/>
          <w:iCs/>
        </w:rPr>
        <w:t xml:space="preserve">data never enter the repository, wherever it is stored</w:t>
      </w:r>
      <w:r>
        <w:t xml:space="preserve"> </w:t>
      </w:r>
      <w:r>
        <w:t xml:space="preserve">in</w:t>
      </w:r>
      <w:r>
        <w:t xml:space="preserve"> </w:t>
      </w:r>
      <w:hyperlink r:id="rId21">
        <w:r>
          <w:rPr>
            <w:rStyle w:val="Hyperlink"/>
          </w:rPr>
          <w:t xml:space="preserve">CI and standards</w:t>
        </w:r>
      </w:hyperlink>
      <w:r>
        <w:t xml:space="preserve">. Two points belong to the process rather than the scanner.</w:t>
      </w:r>
    </w:p>
    <w:p>
      <w:pPr>
        <w:pStyle w:val="BodyText"/>
      </w:pPr>
      <w:r>
        <w:t xml:space="preserve">A path deny-list is not a content control. It keeps a file from being read; it does nothing about the</w:t>
      </w:r>
      <w:r>
        <w:t xml:space="preserve"> </w:t>
      </w:r>
      <w:r>
        <w:t xml:space="preserve">same content typed into a different file. Pair it with a fail-closed commit-time content scan.</w:t>
      </w:r>
    </w:p>
    <w:p>
      <w:pPr>
        <w:pStyle w:val="BodyText"/>
      </w:pPr>
      <w:r>
        <w:t xml:space="preserve">A commit-time scanner is not a live interceptor. It sees what lands in a commit. It does not see an</w:t>
      </w:r>
      <w:r>
        <w:t xml:space="preserve"> </w:t>
      </w:r>
      <w:r>
        <w:t xml:space="preserve">outbound query, a tool-server call, or a fetch argument.</w:t>
      </w:r>
    </w:p>
    <w:p>
      <w:pPr>
        <w:pStyle w:val="BodyText"/>
      </w:pPr>
      <w:r>
        <w:t xml:space="preserve">Nothing mechanical stands between a running agent and that channel, so the discipline there is on the</w:t>
      </w:r>
      <w:r>
        <w:t xml:space="preserve"> </w:t>
      </w:r>
      <w:r>
        <w:t xml:space="preserve">human -- and the standard has to say so, rather than letting the green scanner imply coverage it does</w:t>
      </w:r>
      <w:r>
        <w:t xml:space="preserve"> </w:t>
      </w:r>
      <w:r>
        <w:t xml:space="preserve">not have.</w:t>
      </w:r>
    </w:p>
    <w:p>
      <w:r>
        <w:pict>
          <v:rect style="width:0;height:1.5pt" o:hralign="center" o:hrstd="t" o:hr="t"/>
        </w:pict>
      </w:r>
    </w:p>
    <w:bookmarkEnd w:id="34"/>
    <w:bookmarkStart w:id="37" w:name="X14e6323bcf6e9b0e8faa6bdd21b76d13cd211dd"/>
    <w:p>
      <w:pPr>
        <w:pStyle w:val="Heading2"/>
      </w:pPr>
      <w:r>
        <w:t xml:space="preserve">7. Secure defaults, and the opt-in that must be explicit</w:t>
      </w:r>
    </w:p>
    <w:p>
      <w:pPr>
        <w:pStyle w:val="FirstParagraph"/>
      </w:pPr>
      <w:r>
        <w:t xml:space="preserve">Ship with transport encryption on, encryption at rest on for every resting place</w:t>
      </w:r>
      <w:r>
        <w:t xml:space="preserve"> </w:t>
      </w:r>
      <w:hyperlink w:anchor="Xf8794b0126bc78285fb10778097a0695650e57d">
        <w:r>
          <w:rPr>
            <w:rStyle w:val="Hyperlink"/>
          </w:rPr>
          <w:t xml:space="preserve">section 1</w:t>
        </w:r>
      </w:hyperlink>
      <w:r>
        <w:t xml:space="preserve">'s table names for a restricted class,</w:t>
      </w:r>
      <w:r>
        <w:t xml:space="preserve"> </w:t>
      </w:r>
      <w:r>
        <w:t xml:space="preserve">least-privilege accounts, and verbose audit logging. Any insecure posture is an explicit, named,</w:t>
      </w:r>
      <w:r>
        <w:t xml:space="preserve"> </w:t>
      </w:r>
      <w:r>
        <w:t xml:space="preserve">documented and audited opt-in behind a fail-closed guard -- never a posture a deployment inherits by</w:t>
      </w:r>
      <w:r>
        <w:t xml:space="preserve"> </w:t>
      </w:r>
      <w:r>
        <w:t xml:space="preserve">omission.</w:t>
      </w:r>
    </w:p>
    <w:p>
      <w:pPr>
        <w:pStyle w:val="BodyText"/>
      </w:pPr>
      <w:r>
        <w:t xml:space="preserve">The at-rest half of that used to be unverifiable, and the reason was never a missing mechanism. It</w:t>
      </w:r>
      <w:r>
        <w:t xml:space="preserve"> </w:t>
      </w:r>
      <w:r>
        <w:t xml:space="preserve">was that nobody had said what it was quantified over. The table's third and fourth columns are what</w:t>
      </w:r>
      <w:r>
        <w:t xml:space="preserve"> </w:t>
      </w:r>
      <w:r>
        <w:t xml:space="preserve">make it checkable: the default holds when every resting place listed for a restricted class has a</w:t>
      </w:r>
      <w:r>
        <w:t xml:space="preserve"> </w:t>
      </w:r>
      <w:r>
        <w:t xml:space="preserve">protection recorded against it, and the retention column says how long each one keeps it.</w:t>
      </w:r>
    </w:p>
    <w:p>
      <w:pPr>
        <w:pStyle w:val="BodyText"/>
      </w:pPr>
      <w:r>
        <w:t xml:space="preserve">Two reading errors go with this, and both are defects in opposite directions.</w:t>
      </w:r>
    </w:p>
    <w:p>
      <w:pPr>
        <w:pStyle w:val="BodyText"/>
      </w:pPr>
      <w:r>
        <w:t xml:space="preserve">Off by default, described as active. The code exists; nothing is running.</w:t>
      </w:r>
    </w:p>
    <w:p>
      <w:pPr>
        <w:pStyle w:val="BodyText"/>
      </w:pPr>
      <w:r>
        <w:t xml:space="preserve">Fail-closed, mis-read as inert. It looks like nothing is happening because nothing needs to.</w:t>
      </w:r>
    </w:p>
    <w:p>
      <w:pPr>
        <w:pStyle w:val="BodyText"/>
      </w:pPr>
      <w:r>
        <w:t xml:space="preserve">Score and describe those states separately, and state fail-open versus fail-closed next to the code</w:t>
      </w:r>
      <w:r>
        <w:t xml:space="preserve"> </w:t>
      </w:r>
      <w:r>
        <w:t xml:space="preserve">with the reason -- see</w:t>
      </w:r>
      <w:r>
        <w:t xml:space="preserve"> </w:t>
      </w:r>
      <w:r>
        <w:rPr>
          <w:i/>
          <w:iCs/>
        </w:rPr>
        <w:t xml:space="preserve">Fail-open or fail-closed is a choice you must state</w:t>
      </w:r>
      <w:r>
        <w:t xml:space="preserve"> </w:t>
      </w:r>
      <w:r>
        <w:t xml:space="preserve">in</w:t>
      </w:r>
      <w:r>
        <w:t xml:space="preserve"> </w:t>
      </w:r>
      <w:hyperlink r:id="rId21">
        <w:r>
          <w:rPr>
            <w:rStyle w:val="Hyperlink"/>
          </w:rPr>
          <w:t xml:space="preserve">CI and standards</w:t>
        </w:r>
      </w:hyperlink>
      <w:r>
        <w:t xml:space="preserve">.</w:t>
      </w:r>
    </w:p>
    <w:bookmarkStart w:id="35" w:name="Xb97d7c0c1ae0709af64fd2b41a96e8b87e7072c"/>
    <w:p>
      <w:pPr>
        <w:pStyle w:val="Heading3"/>
      </w:pPr>
      <w:r>
        <w:t xml:space="preserve">Synthetic data by default in anything that is not production</w:t>
      </w:r>
    </w:p>
    <w:p>
      <w:pPr>
        <w:pStyle w:val="FirstParagraph"/>
      </w:pPr>
      <w:r>
        <w:t xml:space="preserve">Test, development and preproduction environments run on synthetic or dummy data, and any use of live</w:t>
      </w:r>
      <w:r>
        <w:t xml:space="preserve"> </w:t>
      </w:r>
      <w:r>
        <w:t xml:space="preserve">or operational data is approved, documented and dated in the</w:t>
      </w:r>
      <w:r>
        <w:t xml:space="preserve"> </w:t>
      </w:r>
      <w:hyperlink w:anchor="X2e76d4b347a06a9540373165195f11ae36f497b">
        <w:r>
          <w:rPr>
            <w:rStyle w:val="Hyperlink"/>
          </w:rPr>
          <w:t xml:space="preserve">section 13</w:t>
        </w:r>
      </w:hyperlink>
      <w:r>
        <w:t xml:space="preserve"> </w:t>
      </w:r>
      <w:r>
        <w:t xml:space="preserve">deviations register, with that environment protected</w:t>
      </w:r>
      <w:r>
        <w:t xml:space="preserve"> </w:t>
      </w:r>
      <w:r>
        <w:t xml:space="preserve">to the same level as the system the data came from for as long as it is present.</w:t>
      </w:r>
      <w:r>
        <w:t xml:space="preserve"> </w:t>
      </w:r>
      <w:r>
        <w:rPr>
          <w:b/>
          <w:bCs/>
        </w:rPr>
        <w:t xml:space="preserve">[derived: 800-53 SA-3(2)]</w:t>
      </w:r>
      <w:r>
        <w:t xml:space="preserve"> </w:t>
      </w:r>
      <w:r>
        <w:t xml:space="preserve">The approve-document-control clause and the equal-level clause are the</w:t>
      </w:r>
      <w:r>
        <w:t xml:space="preserve"> </w:t>
      </w:r>
      <w:r>
        <w:t xml:space="preserve">control; synthetic-by-default is the posture its own discussion directs, stated here as the default</w:t>
      </w:r>
      <w:r>
        <w:t xml:space="preserve"> </w:t>
      </w:r>
      <w:r>
        <w:t xml:space="preserve">so the approval path is the exception rather than the norm.</w:t>
      </w:r>
    </w:p>
    <w:p>
      <w:pPr>
        <w:pStyle w:val="BodyText"/>
      </w:pPr>
      <w:r>
        <w:t xml:space="preserve">State the ratchet explicitly, because it is the part people get backwards. Copying a restricted class</w:t>
      </w:r>
      <w:r>
        <w:t xml:space="preserve"> </w:t>
      </w:r>
      <w:r>
        <w:t xml:space="preserve">into a test environment does not lower that data's protection requirement -- it raises the</w:t>
      </w:r>
      <w:r>
        <w:t xml:space="preserve"> </w:t>
      </w:r>
      <w:r>
        <w:t xml:space="preserve">environment's. That is the entire argument for the default being synthetic, because the alternative is</w:t>
      </w:r>
      <w:r>
        <w:t xml:space="preserve"> </w:t>
      </w:r>
      <w:r>
        <w:t xml:space="preserve">protecting every scratch environment like production, permanently. It also supplies a protection for a</w:t>
      </w:r>
      <w:r>
        <w:t xml:space="preserve"> </w:t>
      </w:r>
      <w:r>
        <w:t xml:space="preserve">resting place</w:t>
      </w:r>
      <w:r>
        <w:t xml:space="preserve"> </w:t>
      </w:r>
      <w:hyperlink w:anchor="Xf8794b0126bc78285fb10778097a0695650e57d">
        <w:r>
          <w:rPr>
            <w:rStyle w:val="Hyperlink"/>
          </w:rPr>
          <w:t xml:space="preserve">section 1</w:t>
        </w:r>
      </w:hyperlink>
      <w:r>
        <w:t xml:space="preserve">'s table would otherwise</w:t>
      </w:r>
      <w:r>
        <w:t xml:space="preserve"> </w:t>
      </w:r>
      <w:r>
        <w:t xml:space="preserve">list bare: the test fixture. The evidence is the fixture or the generator that produces the synthetic</w:t>
      </w:r>
      <w:r>
        <w:t xml:space="preserve"> </w:t>
      </w:r>
      <w:r>
        <w:t xml:space="preserve">data, plus a dated register entry naming what was copied, where it went, and when it was destroyed.</w:t>
      </w:r>
      <w:r>
        <w:t xml:space="preserve"> </w:t>
      </w:r>
      <w:r>
        <w:t xml:space="preserve">This is a default and a register route, not a new blocking release gate.</w:t>
      </w:r>
    </w:p>
    <w:bookmarkEnd w:id="35"/>
    <w:bookmarkStart w:id="36" w:name="X4eda1cea0fbf2b691f9051769e165ce2d910452"/>
    <w:p>
      <w:pPr>
        <w:pStyle w:val="Heading3"/>
      </w:pPr>
      <w:r>
        <w:t xml:space="preserve">Rate a collection by the highest class it holds</w:t>
      </w:r>
    </w:p>
    <w:p>
      <w:pPr>
        <w:pStyle w:val="FirstParagraph"/>
      </w:pPr>
      <w:r>
        <w:rPr>
          <w:b/>
          <w:bCs/>
        </w:rPr>
        <w:t xml:space="preserve">Rate a collection by the highest class it holds, never by the average and never per entry.</w:t>
      </w:r>
      <w:r>
        <w:t xml:space="preserve"> </w:t>
      </w:r>
      <w:r>
        <w:rPr>
          <w:b/>
          <w:bCs/>
        </w:rPr>
        <w:t xml:space="preserve">[derived: FIPS 199]</w:t>
      </w:r>
      <w:r>
        <w:t xml:space="preserve"> </w:t>
      </w:r>
      <w:r>
        <w:t xml:space="preserve">The at-rest default above is quantified over resting places, and several of</w:t>
      </w:r>
      <w:r>
        <w:t xml:space="preserve"> </w:t>
      </w:r>
      <w:r>
        <w:t xml:space="preserve">the resting places this document tells you to build are accumulators. The</w:t>
      </w:r>
      <w:r>
        <w:t xml:space="preserve"> </w:t>
      </w:r>
      <w:hyperlink w:anchor="X11a9cb1723e5b511bbccf75d2588530cdcc5b38">
        <w:r>
          <w:rPr>
            <w:rStyle w:val="Hyperlink"/>
          </w:rPr>
          <w:t xml:space="preserve">section 9</w:t>
        </w:r>
      </w:hyperlink>
      <w:r>
        <w:t xml:space="preserve"> </w:t>
      </w:r>
      <w:r>
        <w:t xml:space="preserve">audit log has an entry-level rule about keeping payloads</w:t>
      </w:r>
      <w:r>
        <w:t xml:space="preserve"> </w:t>
      </w:r>
      <w:r>
        <w:t xml:space="preserve">out and says nothing about the accumulated record. The</w:t>
      </w:r>
      <w:r>
        <w:t xml:space="preserve"> </w:t>
      </w:r>
      <w:hyperlink w:anchor="X48eebdbfd8d38cb086e115614d17c7297664944">
        <w:r>
          <w:rPr>
            <w:rStyle w:val="Hyperlink"/>
          </w:rPr>
          <w:t xml:space="preserve">section 10</w:t>
        </w:r>
      </w:hyperlink>
      <w:r>
        <w:t xml:space="preserve"> </w:t>
      </w:r>
      <w:r>
        <w:t xml:space="preserve">release archive holds the artifact plus its build</w:t>
      </w:r>
      <w:r>
        <w:t xml:space="preserve"> </w:t>
      </w:r>
      <w:r>
        <w:t xml:space="preserve">inputs plus its inventory, and is therefore a map of the whole system that no single input is. The</w:t>
      </w:r>
      <w:r>
        <w:t xml:space="preserve"> </w:t>
      </w:r>
      <w:hyperlink w:anchor="X2e76d4b347a06a9540373165195f11ae36f497b">
        <w:r>
          <w:rPr>
            <w:rStyle w:val="Hyperlink"/>
          </w:rPr>
          <w:t xml:space="preserve">section 13</w:t>
        </w:r>
      </w:hyperlink>
      <w:r>
        <w:t xml:space="preserve"> </w:t>
      </w:r>
      <w:r>
        <w:t xml:space="preserve">deviations register is the third. Each is</w:t>
      </w:r>
      <w:r>
        <w:t xml:space="preserve"> </w:t>
      </w:r>
      <w:r>
        <w:t xml:space="preserve">individually innocuous, and collectively they are the thing an attacker would actually want.</w:t>
      </w:r>
    </w:p>
    <w:p>
      <w:pPr>
        <w:pStyle w:val="BodyText"/>
      </w:pPr>
      <w:hyperlink w:anchor="X2e76d4b347a06a9540373165195f11ae36f497b">
        <w:r>
          <w:rPr>
            <w:rStyle w:val="Hyperlink"/>
          </w:rPr>
          <w:t xml:space="preserve">Section 13</w:t>
        </w:r>
      </w:hyperlink>
      <w:r>
        <w:t xml:space="preserve"> </w:t>
      </w:r>
      <w:r>
        <w:t xml:space="preserve">already reaches the right answer for the register --</w:t>
      </w:r>
      <w:r>
        <w:t xml:space="preserve"> </w:t>
      </w:r>
      <w:r>
        <w:t xml:space="preserve">publish the rule, not the inventory -- but it reaches it as a standalone instruction. Naming the</w:t>
      </w:r>
      <w:r>
        <w:t xml:space="preserve"> </w:t>
      </w:r>
      <w:r>
        <w:t xml:space="preserve">roll-up as the principle is what generalises it to the other two. This is a rating decision on three</w:t>
      </w:r>
      <w:r>
        <w:t xml:space="preserve"> </w:t>
      </w:r>
      <w:r>
        <w:t xml:space="preserve">named artifacts rather than a process. It is evidenced by the access posture on each: who can read</w:t>
      </w:r>
      <w:r>
        <w:t xml:space="preserve"> </w:t>
      </w:r>
      <w:r>
        <w:t xml:space="preserve">the archive, whether the register sits in the published tree, and whether the audit log has a row in</w:t>
      </w:r>
      <w:r>
        <w:t xml:space="preserve"> </w:t>
      </w:r>
      <w:hyperlink w:anchor="Xf8794b0126bc78285fb10778097a0695650e57d">
        <w:r>
          <w:rPr>
            <w:rStyle w:val="Hyperlink"/>
          </w:rPr>
          <w:t xml:space="preserve">section 1</w:t>
        </w:r>
      </w:hyperlink>
      <w:r>
        <w:t xml:space="preserve">'s table.</w:t>
      </w:r>
    </w:p>
    <w:p>
      <w:r>
        <w:pict>
          <v:rect style="width:0;height:1.5pt" o:hralign="center" o:hrstd="t" o:hr="t"/>
        </w:pict>
      </w:r>
    </w:p>
    <w:bookmarkEnd w:id="36"/>
    <w:bookmarkEnd w:id="37"/>
    <w:bookmarkStart w:id="39" w:name="X08c545cdaea16d13c66d050a73fae11a3e2b4eb"/>
    <w:p>
      <w:pPr>
        <w:pStyle w:val="Heading2"/>
      </w:pPr>
      <w:r>
        <w:t xml:space="preserve">8. Machine-to-machine authentication</w:t>
      </w:r>
    </w:p>
    <w:p>
      <w:pPr>
        <w:pStyle w:val="FirstParagraph"/>
      </w:pPr>
      <w:r>
        <w:t xml:space="preserve">A caller that is a machine authenticates as a system, not a person. Use the strongest mechanism</w:t>
      </w:r>
      <w:r>
        <w:t xml:space="preserve"> </w:t>
      </w:r>
      <w:r>
        <w:t xml:space="preserve">the peer system supports.</w:t>
      </w:r>
    </w:p>
    <w:p>
      <w:pPr>
        <w:pStyle w:val="BodyText"/>
      </w:pPr>
      <w:r>
        <w:t xml:space="preserve">Record, per connection, the mechanism, its scope, and a reference to where the credential lives. Keep</w:t>
      </w:r>
      <w:r>
        <w:t xml:space="preserve"> </w:t>
      </w:r>
      <w:r>
        <w:t xml:space="preserve">that record alongside that connection's configuration, so the posture is reviewable one connection at</w:t>
      </w:r>
      <w:r>
        <w:t xml:space="preserve"> </w:t>
      </w:r>
      <w:r>
        <w:t xml:space="preserve">a time rather than as a paragraph of prose.</w:t>
      </w:r>
    </w:p>
    <w:p>
      <w:pPr>
        <w:pStyle w:val="BodyText"/>
      </w:pPr>
      <w:r>
        <w:t xml:space="preserve">A workable hierarchy, strongest first:</w:t>
      </w:r>
    </w:p>
    <w:p>
      <w:pPr>
        <w:pStyle w:val="Compact"/>
        <w:numPr>
          <w:ilvl w:val="0"/>
          <w:numId w:val="1009"/>
        </w:numPr>
      </w:pPr>
      <w:r>
        <w:rPr>
          <w:b/>
          <w:bCs/>
        </w:rPr>
        <w:t xml:space="preserve">Mutual TLS</w:t>
      </w:r>
      <w:r>
        <w:t xml:space="preserve"> </w:t>
      </w:r>
      <w:r>
        <w:t xml:space="preserve">with full chain validation, revocation checking, and rotation before expiry.</w:t>
      </w:r>
    </w:p>
    <w:p>
      <w:pPr>
        <w:pStyle w:val="Compact"/>
        <w:numPr>
          <w:ilvl w:val="0"/>
          <w:numId w:val="1009"/>
        </w:numPr>
      </w:pPr>
      <w:r>
        <w:rPr>
          <w:b/>
          <w:bCs/>
        </w:rPr>
        <w:t xml:space="preserve">A client-credentials grant</w:t>
      </w:r>
      <w:r>
        <w:t xml:space="preserve">, preferring asymmetric client authentication over a shared secret,</w:t>
      </w:r>
      <w:r>
        <w:t xml:space="preserve"> </w:t>
      </w:r>
      <w:r>
        <w:t xml:space="preserve">issuing short-lived per-connection scoped tokens whose issuer, audience, expiry and scope are</w:t>
      </w:r>
      <w:r>
        <w:t xml:space="preserve"> </w:t>
      </w:r>
      <w:r>
        <w:t xml:space="preserve">validated on every request.</w:t>
      </w:r>
    </w:p>
    <w:p>
      <w:pPr>
        <w:pStyle w:val="Compact"/>
        <w:numPr>
          <w:ilvl w:val="0"/>
          <w:numId w:val="1009"/>
        </w:numPr>
      </w:pPr>
      <w:r>
        <w:rPr>
          <w:b/>
          <w:bCs/>
        </w:rPr>
        <w:t xml:space="preserve">Weaker mechanisms</w:t>
      </w:r>
      <w:r>
        <w:t xml:space="preserve"> </w:t>
      </w:r>
      <w:r>
        <w:t xml:space="preserve">-- a shared secret over TLS, a per-connection API key, a message-level</w:t>
      </w:r>
      <w:r>
        <w:t xml:space="preserve"> </w:t>
      </w:r>
      <w:r>
        <w:t xml:space="preserve">username token -- stay supported for peers that cannot do better, but only with a recorded</w:t>
      </w:r>
      <w:r>
        <w:t xml:space="preserve"> </w:t>
      </w:r>
      <w:r>
        <w:t xml:space="preserve">per-connection exception. The value of the record is that the weak connections are a short</w:t>
      </w:r>
      <w:r>
        <w:t xml:space="preserve"> </w:t>
      </w:r>
      <w:r>
        <w:t xml:space="preserve">explicit list rather than a discovery.</w:t>
      </w:r>
    </w:p>
    <w:p>
      <w:pPr>
        <w:pStyle w:val="FirstParagraph"/>
      </w:pPr>
      <w:r>
        <w:t xml:space="preserve">Across all of them: no cleartext transport for restricted data; credentials in a secret store and</w:t>
      </w:r>
      <w:r>
        <w:t xml:space="preserve"> </w:t>
      </w:r>
      <w:r>
        <w:t xml:space="preserve">never in code or configuration; least privilege per connection; network-level restriction as</w:t>
      </w:r>
      <w:r>
        <w:t xml:space="preserve"> </w:t>
      </w:r>
      <w:r>
        <w:t xml:space="preserve">defense in depth.</w:t>
      </w:r>
    </w:p>
    <w:bookmarkStart w:id="38" w:name="X3d7ee481263114e250585e60a9d5c13e5a28baf"/>
    <w:p>
      <w:pPr>
        <w:pStyle w:val="Heading3"/>
      </w:pPr>
      <w:r>
        <w:t xml:space="preserve">Service accounts: no long-lived secret in a file</w:t>
      </w:r>
    </w:p>
    <w:p>
      <w:pPr>
        <w:pStyle w:val="FirstParagraph"/>
      </w:pPr>
      <w:r>
        <w:t xml:space="preserve">Run under a least-privilege account whose credential rotates automatically and is never stored in</w:t>
      </w:r>
      <w:r>
        <w:t xml:space="preserve"> </w:t>
      </w:r>
      <w:r>
        <w:t xml:space="preserve">configuration. Where the platform offers a managed service identity, use it. Where the data store</w:t>
      </w:r>
      <w:r>
        <w:t xml:space="preserve"> </w:t>
      </w:r>
      <w:r>
        <w:t xml:space="preserve">accepts the service identity directly, authenticate that way rather than with a stored password.</w:t>
      </w:r>
    </w:p>
    <w:p>
      <w:pPr>
        <w:pStyle w:val="BodyText"/>
      </w:pPr>
      <w:r>
        <w:t xml:space="preserve">Perform directory lookups only over a TLS-protected channel and fail closed on a cleartext one. The</w:t>
      </w:r>
      <w:r>
        <w:t xml:space="preserve"> </w:t>
      </w:r>
      <w:r>
        <w:t xml:space="preserve">mechanics are platform-specific; the transferable property is that</w:t>
      </w:r>
      <w:r>
        <w:t xml:space="preserve"> </w:t>
      </w:r>
      <w:r>
        <w:rPr>
          <w:b/>
          <w:bCs/>
        </w:rPr>
        <w:t xml:space="preserve">no long-lived secret exists in a</w:t>
      </w:r>
      <w:r>
        <w:rPr>
          <w:b/>
          <w:bCs/>
        </w:rPr>
        <w:t xml:space="preserve"> </w:t>
      </w:r>
      <w:r>
        <w:rPr>
          <w:b/>
          <w:bCs/>
        </w:rPr>
        <w:t xml:space="preserve">file</w:t>
      </w:r>
      <w:r>
        <w:t xml:space="preserve"> </w:t>
      </w:r>
      <w:r>
        <w:t xml:space="preserv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38"/>
    <w:bookmarkEnd w:id="39"/>
    <w:bookmarkStart w:id="42" w:name="X11a9cb1723e5b511bbccf75d2588530cdcc5b38"/>
    <w:p>
      <w:pPr>
        <w:pStyle w:val="Heading2"/>
      </w:pPr>
      <w:r>
        <w:t xml:space="preserve">9. Tamper-evident audit logging</w:t>
      </w:r>
    </w:p>
    <w:p>
      <w:pPr>
        <w:pStyle w:val="FirstParagraph"/>
      </w:pPr>
      <w:r>
        <w:t xml:space="preserve">Produce an append-only, timestamped, actor-attributed audit log with a hash chain over its entries,</w:t>
      </w:r>
      <w:r>
        <w:t xml:space="preserve"> </w:t>
      </w:r>
      <w:r>
        <w:t xml:space="preserve">so alteration is detectable rather than merely discouraged. Gate reads on it. Keep secrets and</w:t>
      </w:r>
      <w:r>
        <w:t xml:space="preserve"> </w:t>
      </w:r>
      <w:r>
        <w:t xml:space="preserve">restricted data out of it entirely at informational level and above.</w:t>
      </w:r>
    </w:p>
    <w:p>
      <w:pPr>
        <w:pStyle w:val="BodyText"/>
      </w:pPr>
      <w:r>
        <w:t xml:space="preserve">An ordinary application log cannot tell an incident review whether the record was altered. A chained</w:t>
      </w:r>
      <w:r>
        <w:t xml:space="preserve"> </w:t>
      </w:r>
      <w:r>
        <w:t xml:space="preserve">one can, and it costs one hash per entry.</w:t>
      </w:r>
    </w:p>
    <w:p>
      <w:pPr>
        <w:pStyle w:val="BodyText"/>
      </w:pPr>
      <w:r>
        <w:t xml:space="preserve">Where the deployment is exposed beyond a single trusted host, off-box forwarding over TLS is what</w:t>
      </w:r>
      <w:r>
        <w:t xml:space="preserve"> </w:t>
      </w:r>
      <w:r>
        <w:t xml:space="preserve">stops a compromise of the host from also erasing its own record. Record that as an</w:t>
      </w:r>
      <w:r>
        <w:t xml:space="preserve"> </w:t>
      </w:r>
      <w:r>
        <w:t xml:space="preserve">exposure-conditional requirement rather than an always-on one, so a local-only deployment is not</w:t>
      </w:r>
      <w:r>
        <w:t xml:space="preserve"> </w:t>
      </w:r>
      <w:r>
        <w:t xml:space="preserve">described as non-compliant for a control it does not need.</w:t>
      </w:r>
    </w:p>
    <w:bookmarkStart w:id="40" w:name="X592ab2cc59a074e35b688ecba31d6bf75ef08fd"/>
    <w:p>
      <w:pPr>
        <w:pStyle w:val="Heading3"/>
      </w:pPr>
      <w:r>
        <w:t xml:space="preserve">What happens when the log cannot be written</w:t>
      </w:r>
    </w:p>
    <w:p>
      <w:pPr>
        <w:pStyle w:val="FirstParagraph"/>
      </w:pPr>
      <w:r>
        <w:t xml:space="preserve">State the behavior when the audit log is unwritable -- disk full, store unreachable, chain</w:t>
      </w:r>
      <w:r>
        <w:t xml:space="preserve"> </w:t>
      </w:r>
      <w:r>
        <w:t xml:space="preserve">verification failing -- as an explicit fail-open or fail-closed choice next to the code, and raise an</w:t>
      </w:r>
      <w:r>
        <w:t xml:space="preserve"> </w:t>
      </w:r>
      <w:r>
        <w:t xml:space="preserve">alert rather than degrading silently.</w:t>
      </w:r>
      <w:r>
        <w:t xml:space="preserve"> </w:t>
      </w:r>
      <w:r>
        <w:rPr>
          <w:b/>
          <w:bCs/>
        </w:rPr>
        <w:t xml:space="preserve">[prompted by: 800-53 AU-5]</w:t>
      </w:r>
      <w:r>
        <w:t xml:space="preserve"> </w:t>
      </w:r>
      <w:r>
        <w:t xml:space="preserve">The control supplies the alert</w:t>
      </w:r>
      <w:r>
        <w:t xml:space="preserve"> </w:t>
      </w:r>
      <w:r>
        <w:t xml:space="preserve">on a logging-process failure and a menu of responses to choose from. The rule that leads here is</w:t>
      </w:r>
      <w:r>
        <w:t xml:space="preserve"> </w:t>
      </w:r>
      <w:hyperlink w:anchor="X14e6323bcf6e9b0e8faa6bdd21b76d13cd211dd">
        <w:r>
          <w:rPr>
            <w:rStyle w:val="Hyperlink"/>
          </w:rPr>
          <w:t xml:space="preserve">section 7</w:t>
        </w:r>
      </w:hyperlink>
      <w:r>
        <w:t xml:space="preserve">'s -- state fail-open versus</w:t>
      </w:r>
      <w:r>
        <w:t xml:space="preserve"> </w:t>
      </w:r>
      <w:r>
        <w:t xml:space="preserve">fail-closed next to the code -- applied to the one component whose failure removes the evidence that</w:t>
      </w:r>
      <w:r>
        <w:t xml:space="preserve"> </w:t>
      </w:r>
      <w:r>
        <w:t xml:space="preserve">anything failed at all, which is why it is prompted by AU-5 rather than a restatement of it.</w:t>
      </w:r>
    </w:p>
    <w:p>
      <w:pPr>
        <w:pStyle w:val="BodyText"/>
      </w:pPr>
      <w:r>
        <w:t xml:space="preserve">The trap is specific to a chained log, and it is why this is not an operational detail sitting beneath</w:t>
      </w:r>
      <w:r>
        <w:t xml:space="preserve"> </w:t>
      </w:r>
      <w:r>
        <w:t xml:space="preserve">the feature. An implementation that drops or truncates entries under storage pressure breaks the</w:t>
      </w:r>
      <w:r>
        <w:t xml:space="preserve"> </w:t>
      </w:r>
      <w:r>
        <w:t xml:space="preserve">chain, and a broken chain is indistinguishable at review time from one broken by tampering. So the</w:t>
      </w:r>
      <w:r>
        <w:t xml:space="preserve"> </w:t>
      </w:r>
      <w:r>
        <w:t xml:space="preserve">fallback -- overwrite the oldest records, stop accepting work, or stop generating records -- is part</w:t>
      </w:r>
      <w:r>
        <w:t xml:space="preserve"> </w:t>
      </w:r>
      <w:r>
        <w:t xml:space="preserve">of the tamper-evidence claim, and it belongs in the same paragraph as the hash chain rather than in a</w:t>
      </w:r>
      <w:r>
        <w:t xml:space="preserve"> </w:t>
      </w:r>
      <w:r>
        <w:t xml:space="preserve">runbook. The cost is a design decision, one branch and one alert, and it is testable by making the</w:t>
      </w:r>
      <w:r>
        <w:t xml:space="preserve"> </w:t>
      </w:r>
      <w:r>
        <w:t xml:space="preserve">sink fail.</w:t>
      </w:r>
    </w:p>
    <w:bookmarkEnd w:id="40"/>
    <w:bookmarkStart w:id="41" w:name="X4cc549780cd7e61d6d0628e1c196c335036c46e"/>
    <w:p>
      <w:pPr>
        <w:pStyle w:val="Heading3"/>
      </w:pPr>
      <w:r>
        <w:t xml:space="preserve">Ship the review affordance; the cadence is not yours</w:t>
      </w:r>
    </w:p>
    <w:p>
      <w:pPr>
        <w:pStyle w:val="FirstParagraph"/>
      </w:pPr>
      <w:r>
        <w:t xml:space="preserve">A log nobody can read is write-only by construction. The reading obligation is the kind of control</w:t>
      </w:r>
      <w:r>
        <w:t xml:space="preserve"> </w:t>
      </w:r>
      <w:hyperlink w:anchor="Xf8794b0126bc78285fb10778097a0695650e57d">
        <w:r>
          <w:rPr>
            <w:rStyle w:val="Hyperlink"/>
          </w:rPr>
          <w:t xml:space="preserve">section 1</w:t>
        </w:r>
      </w:hyperlink>
      <w:r>
        <w:t xml:space="preserve"> </w:t>
      </w:r>
      <w:r>
        <w:t xml:space="preserve">exists to stop going unowned: it is</w:t>
      </w:r>
      <w:r>
        <w:t xml:space="preserve"> </w:t>
      </w:r>
      <w:r>
        <w:t xml:space="preserve">easy for a producer to assume the operator reviews the log and for the operator to assume the log is</w:t>
      </w:r>
      <w:r>
        <w:t xml:space="preserve"> </w:t>
      </w:r>
      <w:r>
        <w:t xml:space="preserve">reviewed by whoever built it.</w:t>
      </w:r>
    </w:p>
    <w:p>
      <w:pPr>
        <w:pStyle w:val="BodyText"/>
      </w:pPr>
      <w:r>
        <w:t xml:space="preserve">Ship the affordance and a labelled retention default.</w:t>
      </w:r>
      <w:r>
        <w:t xml:space="preserve"> </w:t>
      </w:r>
      <w:r>
        <w:rPr>
          <w:b/>
          <w:bCs/>
        </w:rPr>
        <w:t xml:space="preserve">[prompted by: 800-53 AU-6a, AU-11]</w:t>
      </w:r>
      <w:r>
        <w:t xml:space="preserve"> </w:t>
      </w:r>
      <w:r>
        <w:t xml:space="preserve">Query</w:t>
      </w:r>
      <w:r>
        <w:t xml:space="preserve"> </w:t>
      </w:r>
      <w:r>
        <w:t xml:space="preserve">and filter by actor and by time, export in a form another tool reads, and one documented command that</w:t>
      </w:r>
      <w:r>
        <w:t xml:space="preserve"> </w:t>
      </w:r>
      <w:r>
        <w:t xml:space="preserve">verifies the chain and prints which entry first fails. Ship a default retention period and label it</w:t>
      </w:r>
      <w:r>
        <w:t xml:space="preserve"> </w:t>
      </w:r>
      <w:r>
        <w:t xml:space="preserve">project-set, because an unbounded default is the reason the log later gets truncated by whoever runs</w:t>
      </w:r>
      <w:r>
        <w:t xml:space="preserve"> </w:t>
      </w:r>
      <w:r>
        <w:t xml:space="preserve">out of disk. The catalog states the review and the retention period as obligations of whoever operates</w:t>
      </w:r>
      <w:r>
        <w:t xml:space="preserve"> </w:t>
      </w:r>
      <w:r>
        <w:t xml:space="preserve">the system. The split below is this document's, and the affordance is the producer half it implies.</w:t>
      </w:r>
    </w:p>
    <w:p>
      <w:pPr>
        <w:pStyle w:val="BodyText"/>
      </w:pPr>
      <w:r>
        <w:t xml:space="preserve">The review cadence itself, and the definition of what counts as unusual activity in that environment,</w:t>
      </w:r>
      <w:r>
        <w:t xml:space="preserve"> </w:t>
      </w:r>
      <w:r>
        <w:t xml:space="preserve">belong to the operating organization -- which is why they now have a row in</w:t>
      </w:r>
      <w:r>
        <w:t xml:space="preserve"> </w:t>
      </w:r>
      <w:hyperlink w:anchor="Xf8794b0126bc78285fb10778097a0695650e57d">
        <w:r>
          <w:rPr>
            <w:rStyle w:val="Hyperlink"/>
          </w:rPr>
          <w:t xml:space="preserve">section 1</w:t>
        </w:r>
      </w:hyperlink>
      <w:r>
        <w:t xml:space="preserve">'s table rather than a sentence here.</w:t>
      </w:r>
      <w:r>
        <w:t xml:space="preserve"> </w:t>
      </w:r>
      <w:r>
        <w:t xml:space="preserve">Not claiming the cadence is the correct outcome under the ownership rule rather than a dodge, and</w:t>
      </w:r>
      <w:r>
        <w:t xml:space="preserve"> </w:t>
      </w:r>
      <w:r>
        <w:t xml:space="preserve">writing it into the table is what makes that visible. Both are a feature and a constant; neither adds</w:t>
      </w:r>
      <w:r>
        <w:t xml:space="preserve"> </w:t>
      </w:r>
      <w:r>
        <w:t xml:space="preserve">a blocking gate.</w:t>
      </w:r>
    </w:p>
    <w:p>
      <w:r>
        <w:pict>
          <v:rect style="width:0;height:1.5pt" o:hralign="center" o:hrstd="t" o:hr="t"/>
        </w:pict>
      </w:r>
    </w:p>
    <w:bookmarkEnd w:id="41"/>
    <w:bookmarkEnd w:id="42"/>
    <w:bookmarkStart w:id="47"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 is</w:t>
      </w:r>
      <w:r>
        <w:t xml:space="preserve"> </w:t>
      </w:r>
      <w:r>
        <w:t xml:space="preserve">what makes it worth more than the rest of your security page.</w:t>
      </w:r>
    </w:p>
    <w:bookmarkStart w:id="43" w:name="X0962a595a15c980cbc426c4ee953da82dbc2640"/>
    <w:p>
      <w:pPr>
        <w:pStyle w:val="Heading3"/>
      </w:pPr>
      <w:r>
        <w:t xml:space="preserve">Where the build runs, and who can change it</w:t>
      </w:r>
    </w:p>
    <w:p>
      <w:pPr>
        <w:pStyle w:val="FirstParagraph"/>
      </w:pPr>
      <w:r>
        <w:t xml:space="preserve">Everything in the next subsection secures the credential and the artifact. None of it says anything</w:t>
      </w:r>
      <w:r>
        <w:t xml:space="preserve"> </w:t>
      </w:r>
      <w:r>
        <w:t xml:space="preserve">about the machinery that produced them, or about the list of people and machines that can alter that</w:t>
      </w:r>
      <w:r>
        <w:t xml:space="preserve"> </w:t>
      </w:r>
      <w:r>
        <w:t xml:space="preserve">machinery. Say who may change the build and who may publish, as an enumeration rather than a policy</w:t>
      </w:r>
      <w:r>
        <w:t xml:space="preserve"> </w:t>
      </w:r>
      <w:r>
        <w:t xml:space="preserve">sentence.</w:t>
      </w:r>
    </w:p>
    <w:p>
      <w:pPr>
        <w:pStyle w:val="BodyText"/>
      </w:pPr>
      <w:r>
        <w:rPr>
          <w:b/>
          <w:bCs/>
        </w:rPr>
        <w:t xml:space="preserve">The release build runs on an ephemeral runner with no interactive login path, and never on a</w:t>
      </w:r>
      <w:r>
        <w:rPr>
          <w:b/>
          <w:bCs/>
        </w:rPr>
        <w:t xml:space="preserve"> </w:t>
      </w:r>
      <w:r>
        <w:rPr>
          <w:b/>
          <w:bCs/>
        </w:rPr>
        <w:t xml:space="preserve">developer workstation; an artifact built on one is not publishable.</w:t>
      </w:r>
      <w:r>
        <w:t xml:space="preserve"> </w:t>
      </w:r>
      <w:r>
        <w:rPr>
          <w:b/>
          <w:bCs/>
        </w:rPr>
        <w:t xml:space="preserve">[prompted by: 800-53 SA-3(1)]</w:t>
      </w:r>
      <w:r>
        <w:t xml:space="preserve"> </w:t>
      </w:r>
      <w:r>
        <w:t xml:space="preserve">The control asks that a preproduction environment be protected</w:t>
      </w:r>
      <w:r>
        <w:t xml:space="preserve"> </w:t>
      </w:r>
      <w:r>
        <w:t xml:space="preserve">commensurate with risk. Naming the runner, closing the interactive login path, and making an artifact</w:t>
      </w:r>
      <w:r>
        <w:t xml:space="preserve"> </w:t>
      </w:r>
      <w:r>
        <w:t xml:space="preserve">built on a workstation unpublishable are narrower and stronger than that, and they are this</w:t>
      </w:r>
      <w:r>
        <w:t xml:space="preserve"> </w:t>
      </w:r>
      <w:r>
        <w:t xml:space="preserve">document's. For most small teams this is already true and merely unstated, because a hosted runner</w:t>
      </w:r>
      <w:r>
        <w:t xml:space="preserve"> </w:t>
      </w:r>
      <w:r>
        <w:t xml:space="preserve">is ephemeral and has no interactive login by construction. Writing it down is the point: an unstated</w:t>
      </w:r>
      <w:r>
        <w:t xml:space="preserve"> </w:t>
      </w:r>
      <w:r>
        <w:t xml:space="preserve">property cannot be checked when it later stops being true. What it buys is the removal of the class</w:t>
      </w:r>
      <w:r>
        <w:t xml:space="preserve"> </w:t>
      </w:r>
      <w:r>
        <w:t xml:space="preserve">where a compromised or merely untidy workstation contributes bytes to a release. It is what makes the</w:t>
      </w:r>
      <w:r>
        <w:t xml:space="preserve"> </w:t>
      </w:r>
      <w:r>
        <w:t xml:space="preserve">provenance attestation below mean anything, since provenance tracing to somebody's machine is</w:t>
      </w:r>
      <w:r>
        <w:t xml:space="preserve"> </w:t>
      </w:r>
      <w:r>
        <w:t xml:space="preserve">provenance about nothing. What it does not buy is any defense against a malicious change that was</w:t>
      </w:r>
      <w:r>
        <w:t xml:space="preserve"> </w:t>
      </w:r>
      <w:r>
        <w:t xml:space="preserve">reviewed and merged.</w:t>
      </w:r>
    </w:p>
    <w:p>
      <w:pPr>
        <w:pStyle w:val="BodyText"/>
      </w:pPr>
      <w:r>
        <w:t xml:space="preserve">The workflow definition and every file the workflow sources fall under the same protected-path rules</w:t>
      </w:r>
      <w:r>
        <w:t xml:space="preserve"> </w:t>
      </w:r>
      <w:r>
        <w:t xml:space="preserve">as release code. A pipeline change must not be able to merge on a weaker gate than the code it</w:t>
      </w:r>
      <w:r>
        <w:t xml:space="preserve"> </w:t>
      </w:r>
      <w:r>
        <w:t xml:space="preserve">builds, because the build configuration is the part of the repository that can alter every artifact</w:t>
      </w:r>
      <w:r>
        <w:t xml:space="preserve"> </w:t>
      </w:r>
      <w:r>
        <w:t xml:space="preserve">without altering a line of source.</w:t>
      </w:r>
    </w:p>
    <w:p>
      <w:pPr>
        <w:pStyle w:val="BodyText"/>
      </w:pPr>
      <w:r>
        <w:t xml:space="preserve">The publishing capability is held by the workflow identity, and the human publishing path is closed</w:t>
      </w:r>
      <w:r>
        <w:t xml:space="preserve"> </w:t>
      </w:r>
      <w:r>
        <w:t xml:space="preserve">rather than merely unused.</w:t>
      </w:r>
      <w:r>
        <w:t xml:space="preserve"> </w:t>
      </w:r>
      <w:r>
        <w:rPr>
          <w:b/>
          <w:bCs/>
        </w:rPr>
        <w:t xml:space="preserve">[prompted by: 800-53 AC-6, CM-5]</w:t>
      </w:r>
      <w:r>
        <w:t xml:space="preserve"> </w:t>
      </w:r>
      <w:r>
        <w:t xml:space="preserve">Closed is a stronger claim than</w:t>
      </w:r>
      <w:r>
        <w:t xml:space="preserve"> </w:t>
      </w:r>
      <w:r>
        <w:t xml:space="preserve">least privilege makes. It is the one worth writing down, because a path that exists and is not used</w:t>
      </w:r>
      <w:r>
        <w:t xml:space="preserve"> </w:t>
      </w:r>
      <w:r>
        <w:t xml:space="preserve">is a path nobody is watching. Two conditions travel with it. Required reviewers on the publishing</w:t>
      </w:r>
      <w:r>
        <w:t xml:space="preserve"> </w:t>
      </w:r>
      <w:r>
        <w:t xml:space="preserve">environment make the release a second decision rather than a consequence of the merge. And the token</w:t>
      </w:r>
      <w:r>
        <w:t xml:space="preserve"> </w:t>
      </w:r>
      <w:r>
        <w:t xml:space="preserve">scope is declared per job rather than inherited, so a job that has no reason to publish cannot.</w:t>
      </w:r>
    </w:p>
    <w:p>
      <w:pPr>
        <w:pStyle w:val="BodyText"/>
      </w:pPr>
      <w:r>
        <w:t xml:space="preserve">Enumerate every principal that can write to the trunk, administer the repository, or publish, and</w:t>
      </w:r>
      <w:r>
        <w:t xml:space="preserve"> </w:t>
      </w:r>
      <w:r>
        <w:t xml:space="preserve">review that enumeration on a stated cadence.</w:t>
      </w:r>
      <w:r>
        <w:t xml:space="preserve"> </w:t>
      </w:r>
      <w:r>
        <w:rPr>
          <w:b/>
          <w:bCs/>
        </w:rPr>
        <w:t xml:space="preserve">[derived: 800-53 CM-5(5)]</w:t>
      </w:r>
      <w:r>
        <w:t xml:space="preserve"> </w:t>
      </w:r>
      <w:r>
        <w:t xml:space="preserve">Human accounts, machine</w:t>
      </w:r>
      <w:r>
        <w:t xml:space="preserve"> </w:t>
      </w:r>
      <w:r>
        <w:t xml:space="preserve">accounts, deploy keys, installed applications and their scopes, and registry trusted-publisher</w:t>
      </w:r>
      <w:r>
        <w:t xml:space="preserve"> </w:t>
      </w:r>
      <w:r>
        <w:t xml:space="preserve">entries. Make it an enumeration for the same reason</w:t>
      </w:r>
      <w:r>
        <w:t xml:space="preserve"> </w:t>
      </w:r>
      <w:hyperlink w:anchor="Xac02c7d32d5bb277c9e44f3436addfe1b1747df">
        <w:r>
          <w:rPr>
            <w:rStyle w:val="Hyperlink"/>
          </w:rPr>
          <w:t xml:space="preserve">section 2</w:t>
        </w:r>
      </w:hyperlink>
      <w:r>
        <w:t xml:space="preserve"> </w:t>
      </w:r>
      <w:r>
        <w:t xml:space="preserve">makes the boundary list an</w:t>
      </w:r>
      <w:r>
        <w:t xml:space="preserve"> </w:t>
      </w:r>
      <w:r>
        <w:t xml:space="preserve">enumeration: an entry nobody owns then shows up as a row nobody can explain, rather than as something</w:t>
      </w:r>
      <w:r>
        <w:t xml:space="preserve"> </w:t>
      </w:r>
      <w:r>
        <w:t xml:space="preserve">nobody thought to look for. The row worth staring at is the rarely-used automation token with publish</w:t>
      </w:r>
      <w:r>
        <w:t xml:space="preserve"> </w:t>
      </w:r>
      <w:r>
        <w:t xml:space="preserve">scope, which is a larger exposure than the maintainer's own account precisely because it has no</w:t>
      </w:r>
      <w:r>
        <w:t xml:space="preserve"> </w:t>
      </w:r>
      <w:r>
        <w:t xml:space="preserve">session, no notification and nobody watching it. Delete what is no longer needed at each pass and</w:t>
      </w:r>
      <w:r>
        <w:t xml:space="preserve"> </w:t>
      </w:r>
      <w:r>
        <w:t xml:space="preserve">date the pass. A dated export of the collaborator, deploy-key, installed-application and</w:t>
      </w:r>
      <w:r>
        <w:t xml:space="preserve"> </w:t>
      </w:r>
      <w:r>
        <w:t xml:space="preserve">environment-protection settings is the whole of the evidence. The honest caveat for a solo</w:t>
      </w:r>
      <w:r>
        <w:t xml:space="preserve"> </w:t>
      </w:r>
      <w:r>
        <w:t xml:space="preserve">maintainer: this enumeration will show one human holding everything, which is a finding for</w:t>
      </w:r>
      <w:r>
        <w:t xml:space="preserve"> </w:t>
      </w:r>
      <w:hyperlink w:anchor="X2e76d4b347a06a9540373165195f11ae36f497b">
        <w:r>
          <w:rPr>
            <w:rStyle w:val="Hyperlink"/>
          </w:rPr>
          <w:t xml:space="preserve">section 13</w:t>
        </w:r>
      </w:hyperlink>
      <w:r>
        <w:t xml:space="preserve"> </w:t>
      </w:r>
      <w:r>
        <w:t xml:space="preserve">rather than a control to claim.</w:t>
      </w:r>
    </w:p>
    <w:p>
      <w:pPr>
        <w:pStyle w:val="BodyText"/>
      </w:pPr>
      <w:r>
        <w:t xml:space="preserve">Pin every action, image, plugin and tool the pipeline invokes to an immutable digest rather than a</w:t>
      </w:r>
      <w:r>
        <w:t xml:space="preserve"> </w:t>
      </w:r>
      <w:r>
        <w:t xml:space="preserve">moving tag, and review the pinned set on a stated cadence.</w:t>
      </w:r>
      <w:r>
        <w:t xml:space="preserve"> </w:t>
      </w:r>
      <w:r>
        <w:rPr>
          <w:b/>
          <w:bCs/>
        </w:rPr>
        <w:t xml:space="preserve">[prompted by: 800-53 SA-15a]</w:t>
      </w:r>
      <w:r>
        <w:t xml:space="preserve"> </w:t>
      </w:r>
      <w:r>
        <w:t xml:space="preserve">The</w:t>
      </w:r>
      <w:r>
        <w:t xml:space="preserve"> </w:t>
      </w:r>
      <w:r>
        <w:t xml:space="preserve">control asks that the development tools be identified, their options documented, and the integrity of</w:t>
      </w:r>
      <w:r>
        <w:t xml:space="preserve"> </w:t>
      </w:r>
      <w:r>
        <w:t xml:space="preserve">changes to them ensured. The immutable digest is one mechanism choice among several, and the review</w:t>
      </w:r>
      <w:r>
        <w:t xml:space="preserve"> </w:t>
      </w:r>
      <w:r>
        <w:t xml:space="preserve">cadence is in no part of it. The pinned set is the allowlist. The publishing controls below already</w:t>
      </w:r>
      <w:r>
        <w:t xml:space="preserve"> </w:t>
      </w:r>
      <w:r>
        <w:t xml:space="preserve">pin the one publishing action. The general rule over the whole execution surface is what was missing.</w:t>
      </w:r>
      <w:r>
        <w:t xml:space="preserve"> </w:t>
      </w:r>
      <w:r>
        <w:t xml:space="preserve">The cadence is the other half of it, because a pin that is never revisited silently becomes an</w:t>
      </w:r>
      <w:r>
        <w:t xml:space="preserve"> </w:t>
      </w:r>
      <w:r>
        <w:t xml:space="preserve">unpatched dependency. That is exactly why a pinned digest and a blocking dependency-advisory gate are</w:t>
      </w:r>
      <w:r>
        <w:t xml:space="preserve"> </w:t>
      </w:r>
      <w:r>
        <w:t xml:space="preserve">complementary rather than redundant. State the limit in the same paragraph: pinning establishes that</w:t>
      </w:r>
      <w:r>
        <w:t xml:space="preserve"> </w:t>
      </w:r>
      <w:r>
        <w:t xml:space="preserve">you got the same bytes as last time, never that those bytes are trustworthy.</w:t>
      </w:r>
    </w:p>
    <w:p>
      <w:pPr>
        <w:pStyle w:val="BodyText"/>
      </w:pPr>
      <w:r>
        <w:t xml:space="preserve">These are properties of the release path plus one recurring enumeration; they add no row to the</w:t>
      </w:r>
      <w:r>
        <w:t xml:space="preserve"> </w:t>
      </w:r>
      <w:r>
        <w:t xml:space="preserve">release gate in</w:t>
      </w:r>
      <w:r>
        <w:t xml:space="preserve"> </w:t>
      </w:r>
      <w:hyperlink w:anchor="X166d910d570b75bb8e35866cbb9a8eb190f1767">
        <w:r>
          <w:rPr>
            <w:rStyle w:val="Hyperlink"/>
          </w:rPr>
          <w:t xml:space="preserve">section 16</w:t>
        </w:r>
      </w:hyperlink>
      <w:r>
        <w:t xml:space="preserve"> </w:t>
      </w:r>
      <w:r>
        <w:t xml:space="preserve">and weaken nothing above them. Where one of them</w:t>
      </w:r>
      <w:r>
        <w:t xml:space="preserve"> </w:t>
      </w:r>
      <w:r>
        <w:t xml:space="preserve">is not true today, closing that gap is the work rather than the waiver.</w:t>
      </w:r>
    </w:p>
    <w:bookmarkEnd w:id="43"/>
    <w:bookmarkStart w:id="44" w:name="Xca148109ff5f44572641d020555735042fe03e4"/>
    <w:p>
      <w:pPr>
        <w:pStyle w:val="Heading3"/>
      </w:pPr>
      <w:r>
        <w:t xml:space="preserve">Publishing controls, and the limit each one carries</w:t>
      </w:r>
    </w:p>
    <w:p>
      <w:pPr>
        <w:pStyle w:val="FirstParagraph"/>
      </w:pPr>
      <w:r>
        <w:t xml:space="preserve">Publishing credentials. Replace long-lived registry tokens with credentials minted per run from the</w:t>
      </w:r>
      <w:r>
        <w:t xml:space="preserve"> </w:t>
      </w:r>
      <w:r>
        <w:t xml:space="preserve">pipeline's own workflow identity, scoped to a specific repository, workflow and environment, and</w:t>
      </w:r>
      <w:r>
        <w:t xml:space="preserve"> </w:t>
      </w:r>
      <w:r>
        <w:t xml:space="preserve">valid only for the length of an upload. This removes the leaked-token attack class outright.</w:t>
      </w:r>
    </w:p>
    <w:p>
      <w:pPr>
        <w:pStyle w:val="BodyText"/>
      </w:pPr>
      <w:r>
        <w:t xml:space="preserve">Two conditions travel with it. Restrict the publishing workflow to trusted triggers such as a tag or</w:t>
      </w:r>
      <w:r>
        <w:t xml:space="preserve"> </w:t>
      </w:r>
      <w:r>
        <w:t xml:space="preserve">a push, never to a trigger that grants write credentials to code from an untrusted contributor. And</w:t>
      </w:r>
      <w:r>
        <w:t xml:space="preserve"> </w:t>
      </w:r>
      <w:r>
        <w:t xml:space="preserve">pin the publishing action.</w:t>
      </w:r>
    </w:p>
    <w:p>
      <w:pPr>
        <w:pStyle w:val="BodyText"/>
      </w:pPr>
      <w:r>
        <w:t xml:space="preserve">Per-run credentials do not defend against takeover of the publishing account -- that is what</w:t>
      </w:r>
      <w:r>
        <w:t xml:space="preserve"> </w:t>
      </w:r>
      <w:r>
        <w:t xml:space="preserve">account-level multi-factor and environment protection rules are for.</w:t>
      </w:r>
    </w:p>
    <w:p>
      <w:pPr>
        <w:pStyle w:val="BodyText"/>
      </w:pPr>
      <w:r>
        <w:rPr>
          <w:b/>
          <w:bCs/>
        </w:rPr>
        <w:t xml:space="preserve">Publishing identity does not cover the artifact.</w:t>
      </w:r>
      <w:r>
        <w:t xml:space="preserve"> </w:t>
      </w:r>
      <w:r>
        <w:t xml:space="preserve">Establishing that the upload came from your</w:t>
      </w:r>
      <w:r>
        <w:t xml:space="preserve"> </w:t>
      </w:r>
      <w:r>
        <w:t xml:space="preserve">pipeline says nothing about whether the artifact was modified before or after it was built.</w:t>
      </w:r>
    </w:p>
    <w:p>
      <w:pPr>
        <w:pStyle w:val="BodyText"/>
      </w:pPr>
      <w:r>
        <w:t xml:space="preserve">Pair it with a signed attestation binding the distributed filename and its digest to the source</w:t>
      </w:r>
      <w:r>
        <w:t xml:space="preserve"> </w:t>
      </w:r>
      <w:r>
        <w:t xml:space="preserve">repository, workflow and commit that produced it. Record that attestation in a public transparency</w:t>
      </w:r>
      <w:r>
        <w:t xml:space="preserve"> </w:t>
      </w:r>
      <w:r>
        <w:t xml:space="preserve">log and serve it alongside the artifact, so a consumer can check it without contacting you. Neither</w:t>
      </w:r>
      <w:r>
        <w:t xml:space="preserve"> </w:t>
      </w:r>
      <w:r>
        <w:t xml:space="preserve">half is sufficient alone.</w:t>
      </w:r>
    </w:p>
    <w:p>
      <w:pPr>
        <w:pStyle w:val="BodyText"/>
      </w:pPr>
      <w:r>
        <w:rPr>
          <w:b/>
          <w:bCs/>
        </w:rPr>
        <w:t xml:space="preserve">Keyless signing moves the threat model, it does not remove it.</w:t>
      </w:r>
      <w:r>
        <w:t xml:space="preserve"> </w:t>
      </w:r>
      <w:r>
        <w:t xml:space="preserve">Identity-based signing with</w:t>
      </w:r>
      <w:r>
        <w:t xml:space="preserve"> </w:t>
      </w:r>
      <w:r>
        <w:t xml:space="preserve">short-lived certificates and a transparency log removes long-lived key management, which is a real</w:t>
      </w:r>
      <w:r>
        <w:t xml:space="preserve"> </w:t>
      </w:r>
      <w:r>
        <w:t xml:space="preserve">win. It relocates what you defend: multi-factor on the publishing account, branch protection, and</w:t>
      </w:r>
      <w:r>
        <w:t xml:space="preserve"> </w:t>
      </w:r>
      <w:r>
        <w:t xml:space="preserve">pipeline hardening become the load-bearing controls instead of a key safe.</w:t>
      </w:r>
    </w:p>
    <w:p>
      <w:pPr>
        <w:pStyle w:val="BodyText"/>
      </w:pPr>
      <w:r>
        <w:t xml:space="preserve">Where consumers verify on air-gapped or otherwise disconnected networks, bundle the transparency-log</w:t>
      </w:r>
      <w:r>
        <w:t xml:space="preserve"> </w:t>
      </w:r>
      <w:r>
        <w:t xml:space="preserve">inclusion proof with the artifact so verification does not require network access.</w:t>
      </w:r>
    </w:p>
    <w:p>
      <w:pPr>
        <w:pStyle w:val="BodyText"/>
      </w:pPr>
      <w:r>
        <w:t xml:space="preserve">Measure whether a signing scheme is verifiable before crediting it. Coverage and verifiability</w:t>
      </w:r>
      <w:r>
        <w:t xml:space="preserve"> </w:t>
      </w:r>
      <w:r>
        <w:t xml:space="preserve">are separate questions, and both can be near zero while the scheme is nominally in place.</w:t>
      </w:r>
    </w:p>
    <w:p>
      <w:pPr>
        <w:pStyle w:val="BodyText"/>
      </w:pPr>
      <w:r>
        <w:rPr>
          <w:b/>
          <w:bCs/>
        </w:rPr>
        <w:t xml:space="preserve">[external]</w:t>
      </w:r>
      <w:r>
        <w:t xml:space="preserve"> </w:t>
      </w:r>
      <w:r>
        <w:t xml:space="preserve">When one large package registry measured its long-standing detached-signature support,</w:t>
      </w:r>
      <w:r>
        <w:t xml:space="preserve"> </w:t>
      </w:r>
      <w:r>
        <w:t xml:space="preserve">only about a third of signing keys could be meaningfully verified, and signed files were a fraction</w:t>
      </w:r>
      <w:r>
        <w:t xml:space="preserve"> </w:t>
      </w:r>
      <w:r>
        <w:t xml:space="preserve">of a percent of everything published. Support was withdrawn, and existing signatures are now silently</w:t>
      </w:r>
      <w:r>
        <w:t xml:space="preserve"> </w:t>
      </w:r>
      <w:r>
        <w:t xml:space="preserve">ignored.</w:t>
      </w:r>
    </w:p>
    <w:p>
      <w:pPr>
        <w:pStyle w:val="BodyText"/>
      </w:pPr>
      <w:r>
        <w:t xml:space="preserve">Before crediting a signing control, measure what proportion of artifacts carry a signature and what</w:t>
      </w:r>
      <w:r>
        <w:t xml:space="preserve"> </w:t>
      </w:r>
      <w:r>
        <w:t xml:space="preserve">proportion of those a consumer can resolve to an identity.</w:t>
      </w:r>
    </w:p>
    <w:bookmarkEnd w:id="44"/>
    <w:bookmarkStart w:id="45" w:name="Xe1acf8bcb72e6c414f95b924737381b6debc42f"/>
    <w:p>
      <w:pPr>
        <w:pStyle w:val="Heading3"/>
      </w:pPr>
      <w:r>
        <w:t xml:space="preserve">What an adopter can verify without contacting you</w:t>
      </w:r>
    </w:p>
    <w:p>
      <w:pPr>
        <w:pStyle w:val="FirstParagraph"/>
      </w:pPr>
      <w:r>
        <w:t xml:space="preserve">Build provenance. Provenance generated by the pipeline proves the artifact traces to a specific</w:t>
      </w:r>
      <w:r>
        <w:t xml:space="preserve"> </w:t>
      </w:r>
      <w:r>
        <w:t xml:space="preserve">repository, workflow and commit rather than to somebody's machine. Isolating the build behind a</w:t>
      </w:r>
      <w:r>
        <w:t xml:space="preserve"> </w:t>
      </w:r>
      <w:r>
        <w:t xml:space="preserve">dedicated reusable workflow raises the assurance level further.</w:t>
      </w:r>
    </w:p>
    <w:p>
      <w:pPr>
        <w:pStyle w:val="BodyText"/>
      </w:pPr>
      <w:r>
        <w:t xml:space="preserve">A published digest manifest is the lowest-tech verification path. Make it the documented baseline</w:t>
      </w:r>
      <w:r>
        <w:t xml:space="preserve"> </w:t>
      </w:r>
      <w:r>
        <w:t xml:space="preserve">rather than the afterthought. Publish a signed digest manifest with every release and document the</w:t>
      </w:r>
      <w:r>
        <w:t xml:space="preserve"> </w:t>
      </w:r>
      <w:r>
        <w:t xml:space="preserve">exact verification commands, including the offline path. That is the one route a reviewer on an</w:t>
      </w:r>
      <w:r>
        <w:t xml:space="preserve"> </w:t>
      </w:r>
      <w:r>
        <w:t xml:space="preserve">air-gapped network can always run.</w:t>
      </w:r>
    </w:p>
    <w:p>
      <w:pPr>
        <w:pStyle w:val="BodyText"/>
      </w:pPr>
      <w:r>
        <w:rPr>
          <w:b/>
          <w:bCs/>
        </w:rPr>
        <w:t xml:space="preserve">A component inventory is not tamper detection.</w:t>
      </w:r>
      <w:r>
        <w:t xml:space="preserve"> </w:t>
      </w:r>
      <w:r>
        <w:t xml:space="preserve">Generate one per release, in the formats your</w:t>
      </w:r>
      <w:r>
        <w:t xml:space="preserve"> </w:t>
      </w:r>
      <w:r>
        <w:t xml:space="preserve">consumers ingest, and attach it to the release and to the archived build.</w:t>
      </w:r>
    </w:p>
    <w:p>
      <w:pPr>
        <w:pStyle w:val="BodyText"/>
      </w:pPr>
      <w:r>
        <w:t xml:space="preserve">Be precise about what it buys: answering "do we ship component X" within minutes of a</w:t>
      </w:r>
      <w:r>
        <w:t xml:space="preserve"> </w:t>
      </w:r>
      <w:r>
        <w:t xml:space="preserve">widely-publicised advisory, drift detection by diffing a produced inventory against the intended</w:t>
      </w:r>
      <w:r>
        <w:t xml:space="preserve"> </w:t>
      </w:r>
      <w:r>
        <w:t xml:space="preserve">manifest, and satisfying procurement reviews. It is not integrity evidence for your own code and must</w:t>
      </w:r>
      <w:r>
        <w:t xml:space="preserve"> </w:t>
      </w:r>
      <w:r>
        <w:t xml:space="preserve">not be quoted as such.</w:t>
      </w:r>
    </w:p>
    <w:p>
      <w:pPr>
        <w:pStyle w:val="BodyText"/>
      </w:pPr>
      <w:r>
        <w:t xml:space="preserve">Archive each release with its build inputs and its inventory. Two things depend on it: incident</w:t>
      </w:r>
      <w:r>
        <w:t xml:space="preserve"> </w:t>
      </w:r>
      <w:r>
        <w:t xml:space="preserve">analysis -- what exactly was in the version somebody is running -- and reproducibility. An archive</w:t>
      </w:r>
      <w:r>
        <w:t xml:space="preserve"> </w:t>
      </w:r>
      <w:r>
        <w:t xml:space="preserve">holding only the artifact answers neither.</w:t>
      </w:r>
    </w:p>
    <w:p>
      <w:pPr>
        <w:pStyle w:val="BodyText"/>
      </w:pPr>
      <w:r>
        <w:t xml:space="preserve">Back up that archive off the platform that hosts it, and restore from it at least once, dated.</w:t>
      </w:r>
      <w:r>
        <w:t xml:space="preserve"> </w:t>
      </w:r>
      <w:r>
        <w:rPr>
          <w:b/>
          <w:bCs/>
        </w:rPr>
        <w:t xml:space="preserve">[derived: 800-53 CP-9c]</w:t>
      </w:r>
      <w:r>
        <w:t xml:space="preserve"> </w:t>
      </w:r>
      <w:r>
        <w:t xml:space="preserve">The archive, the build inputs, the component inventories, the</w:t>
      </w:r>
      <w:r>
        <w:t xml:space="preserve"> </w:t>
      </w:r>
      <w:r>
        <w:t xml:space="preserve">attestations, the signing and publishing identity configuration, and the deviations register are all</w:t>
      </w:r>
      <w:r>
        <w:t xml:space="preserve"> </w:t>
      </w:r>
      <w:r>
        <w:t xml:space="preserve">evidence this document tells you to create and nowhere tells you to protect. They typically live in</w:t>
      </w:r>
      <w:r>
        <w:t xml:space="preserve"> </w:t>
      </w:r>
      <w:r>
        <w:t xml:space="preserve">one account at one provider, so an account suspension or a repository deletion takes the provenance,</w:t>
      </w:r>
      <w:r>
        <w:t xml:space="preserve"> </w:t>
      </w:r>
      <w:r>
        <w:t xml:space="preserve">the attestations, the archive and the register in a single event -- at which point every claim in</w:t>
      </w:r>
      <w:r>
        <w:t xml:space="preserve"> </w:t>
      </w:r>
      <w:hyperlink w:anchor="Xd93b41aba76cd6464a6e694c5ed1cd30484ae10">
        <w:r>
          <w:rPr>
            <w:rStyle w:val="Hyperlink"/>
          </w:rPr>
          <w:t xml:space="preserve">section 17</w:t>
        </w:r>
      </w:hyperlink>
      <w:r>
        <w:t xml:space="preserve"> </w:t>
      </w:r>
      <w:r>
        <w:t xml:space="preserve">becomes unevidenced simultaneously. The restore is the part that</w:t>
      </w:r>
      <w:r>
        <w:t xml:space="preserve"> </w:t>
      </w:r>
      <w:r>
        <w:t xml:space="preserve">matters: once, dated, restore one archived release and confirm the restored artifact still matches</w:t>
      </w:r>
      <w:r>
        <w:t xml:space="preserve"> </w:t>
      </w:r>
      <w:r>
        <w:t xml:space="preserve">the digest you published for it. A copy nobody has restored from is a claim rather than a backup,</w:t>
      </w:r>
      <w:r>
        <w:t xml:space="preserve"> </w:t>
      </w:r>
      <w:r>
        <w:t xml:space="preserve">which is the same defect pattern this document already names for a clean scanner run and for an</w:t>
      </w:r>
      <w:r>
        <w:t xml:space="preserve"> </w:t>
      </w:r>
      <w:r>
        <w:t xml:space="preserve">in-process integrity check.</w:t>
      </w:r>
    </w:p>
    <w:p>
      <w:pPr>
        <w:pStyle w:val="BodyText"/>
      </w:pPr>
      <w:r>
        <w:t xml:space="preserve">Keep the boundary explicit in the same paragraph. This is the producer backing up the producer's own</w:t>
      </w:r>
      <w:r>
        <w:t xml:space="preserve"> </w:t>
      </w:r>
      <w:r>
        <w:t xml:space="preserve">evidence. Backups, disaster recovery and availability for a deployment stay in the right-hand column</w:t>
      </w:r>
      <w:r>
        <w:t xml:space="preserve"> </w:t>
      </w:r>
      <w:r>
        <w:t xml:space="preserve">of</w:t>
      </w:r>
      <w:r>
        <w:t xml:space="preserve"> </w:t>
      </w:r>
      <w:hyperlink w:anchor="Xf8794b0126bc78285fb10778097a0695650e57d">
        <w:r>
          <w:rPr>
            <w:rStyle w:val="Hyperlink"/>
          </w:rPr>
          <w:t xml:space="preserve">section 1</w:t>
        </w:r>
      </w:hyperlink>
      <w:r>
        <w:t xml:space="preserve">, unchanged. So this reaches the</w:t>
      </w:r>
      <w:r>
        <w:t xml:space="preserve"> </w:t>
      </w:r>
      <w:r>
        <w:t xml:space="preserve">evidence archive and not a deployment's data: do not write it up as covering backup and restore.</w:t>
      </w:r>
    </w:p>
    <w:p>
      <w:pPr>
        <w:pStyle w:val="BodyText"/>
      </w:pPr>
      <w:r>
        <w:rPr>
          <w:b/>
          <w:bCs/>
        </w:rPr>
        <w:t xml:space="preserve">What leaves the build must be only what was intended.</w:t>
      </w:r>
      <w:r>
        <w:t xml:space="preserve"> </w:t>
      </w:r>
      <w:r>
        <w:t xml:space="preserve">Declare an explicit allowlist of what the</w:t>
      </w:r>
      <w:r>
        <w:t xml:space="preserve"> </w:t>
      </w:r>
      <w:r>
        <w:t xml:space="preserve">published artifact contains, gate on it before the upload step, and verify the published artifact once</w:t>
      </w:r>
      <w:r>
        <w:t xml:space="preserve"> </w:t>
      </w:r>
      <w:r>
        <w:t xml:space="preserve">after release, because checking what you built is not checking what shipped.</w:t>
      </w:r>
    </w:p>
    <w:p>
      <w:pPr>
        <w:pStyle w:val="BodyText"/>
      </w:pPr>
      <w:r>
        <w:t xml:space="preserve">The rule and its failure mode are stated in full under</w:t>
      </w:r>
      <w:r>
        <w:t xml:space="preserve"> </w:t>
      </w:r>
      <w:r>
        <w:rPr>
          <w:i/>
          <w:iCs/>
        </w:rPr>
        <w:t xml:space="preserve">Package manifests are allowlists, not sweeps</w:t>
      </w:r>
      <w:r>
        <w:t xml:space="preserve"> </w:t>
      </w:r>
      <w:r>
        <w:t xml:space="preserve">in</w:t>
      </w:r>
      <w:r>
        <w:t xml:space="preserve"> </w:t>
      </w:r>
      <w:hyperlink r:id="rId21">
        <w:r>
          <w:rPr>
            <w:rStyle w:val="Hyperlink"/>
          </w:rPr>
          <w:t xml:space="preserve">CI and standards</w:t>
        </w:r>
      </w:hyperlink>
      <w:r>
        <w:t xml:space="preserve">. The case worth naming here is that material a project</w:t>
      </w:r>
      <w:r>
        <w:t xml:space="preserve"> </w:t>
      </w:r>
      <w:r>
        <w:t xml:space="preserve">treats as withheld can travel inside a published distribution without anyone reviewing the packaging</w:t>
      </w:r>
      <w:r>
        <w:t xml:space="preserve"> </w:t>
      </w:r>
      <w:r>
        <w:t xml:space="preserve">list.</w:t>
      </w:r>
    </w:p>
    <w:bookmarkEnd w:id="45"/>
    <w:bookmarkStart w:id="46" w:name="Xc32df6696e9411929dcc3ab12f3985f03bc5873"/>
    <w:p>
      <w:pPr>
        <w:pStyle w:val="Heading3"/>
      </w:pPr>
      <w:r>
        <w:t xml:space="preserve">Obfuscation is not the control you are looking for</w:t>
      </w:r>
    </w:p>
    <w:p>
      <w:pPr>
        <w:pStyle w:val="FirstParagraph"/>
      </w:pPr>
      <w:r>
        <w:t xml:space="preserve">For code whose source is published, obfuscating or compiling the shipped artifact protects nothing</w:t>
      </w:r>
      <w:r>
        <w:t xml:space="preserve"> </w:t>
      </w:r>
      <w:r>
        <w:t xml:space="preserve">that matters. There is no confidentiality to preserve, and the tamper resistance gained is marginal.</w:t>
      </w:r>
      <w:r>
        <w:t xml:space="preserve"> </w:t>
      </w:r>
      <w:r>
        <w:t xml:space="preserve">Where a copyleft license requires corresponding source, an obfuscated build also creates friction with</w:t>
      </w:r>
      <w:r>
        <w:t xml:space="preserve"> </w:t>
      </w:r>
      <w:r>
        <w:t xml:space="preserve">that obligation.</w:t>
      </w:r>
    </w:p>
    <w:p>
      <w:pPr>
        <w:pStyle w:val="BodyText"/>
      </w:pPr>
      <w:r>
        <w:t xml:space="preserve">The vendors concede the limit themselves. One obfuscation product's own documentation states it is</w:t>
      </w:r>
      <w:r>
        <w:t xml:space="preserve"> </w:t>
      </w:r>
      <w:r>
        <w:t xml:space="preserve">not good at memory protection or anti-debug. The same documentation says its runtime-data protection</w:t>
      </w:r>
      <w:r>
        <w:t xml:space="preserve"> </w:t>
      </w:r>
      <w:r>
        <w:t xml:space="preserve">holds only if the interpreter and its runtime extension are not compromised -- a condition a</w:t>
      </w:r>
      <w:r>
        <w:t xml:space="preserve"> </w:t>
      </w:r>
      <w:r>
        <w:t xml:space="preserve">privileged attacker defeats by definition.</w:t>
      </w:r>
    </w:p>
    <w:p>
      <w:pPr>
        <w:pStyle w:val="BodyText"/>
      </w:pPr>
      <w:r>
        <w:t xml:space="preserve">One native compiler's documentation concedes that its default single-file mode is a self-extracting</w:t>
      </w:r>
      <w:r>
        <w:t xml:space="preserve"> </w:t>
      </w:r>
      <w:r>
        <w:t xml:space="preserve">archive whose contents land on disk for inspection. Bytecode-only distribution is trivially</w:t>
      </w:r>
      <w:r>
        <w:t xml:space="preserve"> </w:t>
      </w:r>
      <w:r>
        <w:t xml:space="preserve">decompiled and patched.</w:t>
      </w:r>
    </w:p>
    <w:p>
      <w:pPr>
        <w:pStyle w:val="BodyText"/>
      </w:pPr>
      <w:r>
        <w:rPr>
          <w:b/>
          <w:bCs/>
        </w:rPr>
        <w:t xml:space="preserve">The rule that survives all of it: a protection scheme that must run inside the process it protects</w:t>
      </w:r>
      <w:r>
        <w:rPr>
          <w:b/>
          <w:bCs/>
        </w:rPr>
        <w:t xml:space="preserve"> </w:t>
      </w:r>
      <w:r>
        <w:rPr>
          <w:b/>
          <w:bCs/>
        </w:rPr>
        <w:t xml:space="preserve">assumes an uncompromised runtime, which is exactly the assumption a privileged attacker breaks.</w:t>
      </w:r>
      <w:r>
        <w:t xml:space="preserve"> </w:t>
      </w:r>
      <w:r>
        <w:t xml:space="preserve">Spend the budget on verification instead -- provenance, attestation, inventory, digests -- because</w:t>
      </w:r>
      <w:r>
        <w:t xml:space="preserve"> </w:t>
      </w:r>
      <w:r>
        <w:t xml:space="preserve">that is what a reviewer can actually check.</w:t>
      </w:r>
    </w:p>
    <w:p>
      <w:pPr>
        <w:pStyle w:val="BodyText"/>
      </w:pPr>
      <w:r>
        <w:t xml:space="preserve">If you do ship a hardened build, position it as raising analysis cost, never as tamper-proof, and keep</w:t>
      </w:r>
      <w:r>
        <w:t xml:space="preserve"> </w:t>
      </w:r>
      <w:r>
        <w:t xml:space="preserve">secrets and authorization decisions out of any artifact an adversary holds.</w:t>
      </w:r>
    </w:p>
    <w:p>
      <w:r>
        <w:pict>
          <v:rect style="width:0;height:1.5pt" o:hralign="center" o:hrstd="t" o:hr="t"/>
        </w:pict>
      </w:r>
    </w:p>
    <w:bookmarkEnd w:id="46"/>
    <w:bookmarkEnd w:id="47"/>
    <w:bookmarkStart w:id="50" w:name="X254797a2ada8f8185b1c8b4abb87efa09aeaec0"/>
    <w:p>
      <w:pPr>
        <w:pStyle w:val="Heading2"/>
      </w:pPr>
      <w:r>
        <w:t xml:space="preserve">11. Runtime tamper resistance, and the bootstrap-trust limit</w:t>
      </w:r>
    </w:p>
    <w:p>
      <w:pPr>
        <w:pStyle w:val="FirstParagraph"/>
      </w:pPr>
      <w:r>
        <w:t xml:space="preserve">An application that hashes its own files against a signed manifest at startup detects accidents and</w:t>
      </w:r>
      <w:r>
        <w:t xml:space="preserve"> </w:t>
      </w:r>
      <w:r>
        <w:t xml:space="preserve">unsophisticated tampering and produces an audit signal. That is worth having, and it is all it is.</w:t>
      </w:r>
    </w:p>
    <w:p>
      <w:pPr>
        <w:pStyle w:val="BodyText"/>
      </w:pPr>
      <w:r>
        <w:t xml:space="preserve">It cannot be more, because</w:t>
      </w:r>
      <w:r>
        <w:t xml:space="preserve"> </w:t>
      </w:r>
      <w:r>
        <w:rPr>
          <w:b/>
          <w:bCs/>
        </w:rPr>
        <w:t xml:space="preserve">the checker runs in the same trust domain as the thing it checks</w:t>
      </w:r>
      <w:r>
        <w:t xml:space="preserve">.</w:t>
      </w:r>
      <w:r>
        <w:t xml:space="preserve"> </w:t>
      </w:r>
      <w:r>
        <w:t xml:space="preserve">Anyone who can edit the code on disk can also edit the manifest, the embedded key, or the verification</w:t>
      </w:r>
      <w:r>
        <w:t xml:space="preserve"> </w:t>
      </w:r>
      <w:r>
        <w:t xml:space="preserve">routine. Anyone who can alter the runtime can stub it.</w:t>
      </w:r>
    </w:p>
    <w:p>
      <w:pPr>
        <w:pStyle w:val="BodyText"/>
      </w:pPr>
      <w:r>
        <w:t xml:space="preserve">The chain of trust only terminates in hardware measured boot, which is a platform decision the</w:t>
      </w:r>
      <w:r>
        <w:t xml:space="preserve"> </w:t>
      </w:r>
      <w:r>
        <w:t xml:space="preserve">operator makes and not something the software ships. Ship the check as defense in depth, document the</w:t>
      </w:r>
      <w:r>
        <w:t xml:space="preserve"> </w:t>
      </w:r>
      <w:r>
        <w:t xml:space="preserve">limit in the same paragraph as the feature, and never let it be quoted as prevention.</w:t>
      </w:r>
    </w:p>
    <w:p>
      <w:pPr>
        <w:pStyle w:val="BodyText"/>
      </w:pPr>
      <w:r>
        <w:t xml:space="preserve">State the honest objective. On a host where the adversary has administrative privilege, every</w:t>
      </w:r>
      <w:r>
        <w:t xml:space="preserve"> </w:t>
      </w:r>
      <w:r>
        <w:t xml:space="preserve">application-level control is ultimately defeatable -- agents can be disabled, baselines altered, the</w:t>
      </w:r>
      <w:r>
        <w:t xml:space="preserve"> </w:t>
      </w:r>
      <w:r>
        <w:t xml:space="preserve">runtime patched, behavior hooked at load time. Say so explicitly rather than letting the control list</w:t>
      </w:r>
      <w:r>
        <w:t xml:space="preserve"> </w:t>
      </w:r>
      <w:r>
        <w:t xml:space="preserve">imply prevention.</w:t>
      </w:r>
    </w:p>
    <w:p>
      <w:pPr>
        <w:pStyle w:val="BodyText"/>
      </w:pPr>
      <w:r>
        <w:t xml:space="preserve">What is achievable is to make tampering noisy, costly and detectable, to produce audit evidence, and</w:t>
      </w:r>
      <w:r>
        <w:t xml:space="preserve"> </w:t>
      </w:r>
      <w:r>
        <w:t xml:space="preserve">to push the trust root as low as the operator is willing to go.</w:t>
      </w:r>
    </w:p>
    <w:bookmarkStart w:id="48" w:name="X03039a66da44c7154d14d988511a9288cf0ecd3"/>
    <w:p>
      <w:pPr>
        <w:pStyle w:val="Heading3"/>
      </w:pPr>
      <w:r>
        <w:t xml:space="preserve">Operator-owned hardening: document and recommend, never claim</w:t>
      </w:r>
    </w:p>
    <w:p>
      <w:pPr>
        <w:pStyle w:val="FirstParagraph"/>
      </w:pPr>
      <w:r>
        <w:t xml:space="preserve">These controls are all stronger than any application-level control named above, and none of them are</w:t>
      </w:r>
      <w:r>
        <w:t xml:space="preserve"> </w:t>
      </w:r>
      <w:r>
        <w:t xml:space="preserve">yours:</w:t>
      </w:r>
    </w:p>
    <w:p>
      <w:pPr>
        <w:pStyle w:val="Compact"/>
        <w:numPr>
          <w:ilvl w:val="0"/>
          <w:numId w:val="1010"/>
        </w:numPr>
      </w:pPr>
      <w:r>
        <w:t xml:space="preserve">file-integrity monitoring against a baseline</w:t>
      </w:r>
    </w:p>
    <w:p>
      <w:pPr>
        <w:pStyle w:val="Compact"/>
        <w:numPr>
          <w:ilvl w:val="0"/>
          <w:numId w:val="1010"/>
        </w:numPr>
      </w:pPr>
      <w:r>
        <w:t xml:space="preserve">immutable or read-only deployment with writable state confined to the data store</w:t>
      </w:r>
    </w:p>
    <w:p>
      <w:pPr>
        <w:pStyle w:val="Compact"/>
        <w:numPr>
          <w:ilvl w:val="0"/>
          <w:numId w:val="1010"/>
        </w:numPr>
      </w:pPr>
      <w:r>
        <w:t xml:space="preserve">least-privilege file ownership so the running account cannot rewrite its own code</w:t>
      </w:r>
    </w:p>
    <w:p>
      <w:pPr>
        <w:pStyle w:val="Compact"/>
        <w:numPr>
          <w:ilvl w:val="0"/>
          <w:numId w:val="1010"/>
        </w:numPr>
      </w:pPr>
      <w:r>
        <w:t xml:space="preserve">confinement under a mandatory access control system</w:t>
      </w:r>
    </w:p>
    <w:p>
      <w:pPr>
        <w:pStyle w:val="Compact"/>
        <w:numPr>
          <w:ilvl w:val="0"/>
          <w:numId w:val="1010"/>
        </w:numPr>
      </w:pPr>
      <w:r>
        <w:t xml:space="preserve">signed-artifact admission control that rejects anything unsigned</w:t>
      </w:r>
    </w:p>
    <w:p>
      <w:pPr>
        <w:pStyle w:val="FirstParagraph"/>
      </w:pPr>
      <w:r>
        <w:t xml:space="preserve">Ship a hardening guide with a concrete list of paths to monitor and example rules, so the operator has</w:t>
      </w:r>
      <w:r>
        <w:t xml:space="preserve"> </w:t>
      </w:r>
      <w:r>
        <w:t xml:space="preserve">something to apply on day one rather than a category name.</w:t>
      </w:r>
    </w:p>
    <w:bookmarkEnd w:id="48"/>
    <w:bookmarkStart w:id="49" w:name="X438150f8dfc89784d5bd3543f347a17625c0f0c"/>
    <w:p>
      <w:pPr>
        <w:pStyle w:val="Heading3"/>
      </w:pPr>
      <w:r>
        <w:t xml:space="preserve">Roll out a blocking verification control in audit mode first</w:t>
      </w:r>
    </w:p>
    <w:p>
      <w:pPr>
        <w:pStyle w:val="FirstParagraph"/>
      </w:pPr>
      <w:r>
        <w:t xml:space="preserve">A control that rejects artifacts failing verification will also reject valid artifacts whenever its</w:t>
      </w:r>
      <w:r>
        <w:t xml:space="preserve"> </w:t>
      </w:r>
      <w:r>
        <w:t xml:space="preserve">own preconditions are unmet -- for instance when the enforcing component cannot reach the store</w:t>
      </w:r>
      <w:r>
        <w:t xml:space="preserve"> </w:t>
      </w:r>
      <w:r>
        <w:t xml:space="preserve">holding the signatures it must fetch.</w:t>
      </w:r>
    </w:p>
    <w:p>
      <w:pPr>
        <w:pStyle w:val="BodyText"/>
      </w:pPr>
      <w:r>
        <w:t xml:space="preserve">Start in audit mode where it reports but does not block, confirm it is resolving what it needs, then</w:t>
      </w:r>
      <w:r>
        <w:t xml:space="preserve"> </w:t>
      </w:r>
      <w:r>
        <w:t xml:space="preserve">switch to enforce.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49"/>
    <w:bookmarkEnd w:id="50"/>
    <w:bookmarkStart w:id="54" w:name="Xc32b009c31e5f6409196a95ed4c1406da6dc82b"/>
    <w:p>
      <w:pPr>
        <w:pStyle w:val="Heading2"/>
      </w:pPr>
      <w:r>
        <w:t xml:space="preserve">12. Vulnerability response, exercised</w:t>
      </w:r>
    </w:p>
    <w:p>
      <w:pPr>
        <w:pStyle w:val="FirstParagraph"/>
      </w:pPr>
      <w:r>
        <w:t xml:space="preserve">A response program is a process control, not a document. It needs:</w:t>
      </w:r>
    </w:p>
    <w:p>
      <w:pPr>
        <w:pStyle w:val="Compact"/>
        <w:numPr>
          <w:ilvl w:val="0"/>
          <w:numId w:val="1011"/>
        </w:numPr>
      </w:pPr>
      <w:r>
        <w:t xml:space="preserve">A defined private intake channel.</w:t>
      </w:r>
    </w:p>
    <w:p>
      <w:pPr>
        <w:pStyle w:val="Compact"/>
        <w:numPr>
          <w:ilvl w:val="0"/>
          <w:numId w:val="1011"/>
        </w:numPr>
      </w:pPr>
      <w:r>
        <w:t xml:space="preserve">Severity-banded remediation windows.</w:t>
      </w:r>
    </w:p>
    <w:p>
      <w:pPr>
        <w:pStyle w:val="Compact"/>
        <w:numPr>
          <w:ilvl w:val="0"/>
          <w:numId w:val="1011"/>
        </w:numPr>
      </w:pPr>
      <w:r>
        <w:t xml:space="preserve">A root-cause review for significant findings, feeding systemic causes back into the standard.</w:t>
      </w:r>
    </w:p>
    <w:p>
      <w:pPr>
        <w:pStyle w:val="Compact"/>
        <w:numPr>
          <w:ilvl w:val="0"/>
          <w:numId w:val="1011"/>
        </w:numPr>
      </w:pPr>
      <w:r>
        <w:t xml:space="preserve">Coordinated disclosure after a fix exists.</w:t>
      </w:r>
    </w:p>
    <w:p>
      <w:pPr>
        <w:pStyle w:val="Compact"/>
        <w:numPr>
          <w:ilvl w:val="0"/>
          <w:numId w:val="1011"/>
        </w:numPr>
      </w:pPr>
      <w:r>
        <w:rPr>
          <w:b/>
          <w:bCs/>
        </w:rPr>
        <w:t xml:space="preserve">The machinery exercised end to end at least once, as a dry run.</w:t>
      </w:r>
      <w:r>
        <w:t xml:space="preserve"> </w:t>
      </w:r>
      <w:r>
        <w:t xml:space="preserve">This is the part usually</w:t>
      </w:r>
      <w:r>
        <w:t xml:space="preserve"> </w:t>
      </w:r>
      <w:r>
        <w:t xml:space="preserve">missing, and it is the part that finds the broken intake address before a real reporter does.</w:t>
      </w:r>
    </w:p>
    <w:p>
      <w:pPr>
        <w:pStyle w:val="FirstParagraph"/>
      </w:pPr>
      <w:r>
        <w:t xml:space="preserve">State when the clock starts, next to the window. The two obvious choices give very different numbers.</w:t>
      </w:r>
      <w:r>
        <w:t xml:space="preserve"> </w:t>
      </w:r>
      <w:r>
        <w:t xml:space="preserve">Measuring from your own triage is right for your own defects. Measuring from the point an upstream</w:t>
      </w:r>
      <w:r>
        <w:t xml:space="preserve"> </w:t>
      </w:r>
      <w:r>
        <w:t xml:space="preserve">fixed version exists is right for a third-party advisory, because a clock started at triage runs</w:t>
      </w:r>
      <w:r>
        <w:t xml:space="preserve"> </w:t>
      </w:r>
      <w:r>
        <w:t xml:space="preserve">against something you cannot act on.</w:t>
      </w:r>
    </w:p>
    <w:p>
      <w:pPr>
        <w:pStyle w:val="BodyText"/>
      </w:pPr>
      <w:r>
        <w:t xml:space="preserve">Pick per finding class, say which, and track the waiting period itself, so an unfixable advisory is</w:t>
      </w:r>
      <w:r>
        <w:t xml:space="preserve"> </w:t>
      </w:r>
      <w:r>
        <w:t xml:space="preserve">visible rather than silently blowing a window.</w:t>
      </w:r>
    </w:p>
    <w:bookmarkStart w:id="51" w:name="what-actually-closes-a-finding"/>
    <w:p>
      <w:pPr>
        <w:pStyle w:val="Heading3"/>
      </w:pPr>
      <w:r>
        <w:t xml:space="preserve">What actually closes a finding</w:t>
      </w:r>
    </w:p>
    <w:p>
      <w:pPr>
        <w:pStyle w:val="FirstParagraph"/>
      </w:pPr>
      <w:r>
        <w:rPr>
          <w:b/>
          <w:bCs/>
        </w:rPr>
        <w:t xml:space="preserve">A finding is closed by the check that produced it going green on the commit containing the fix --</w:t>
      </w:r>
      <w:r>
        <w:rPr>
          <w:b/>
          <w:bCs/>
        </w:rPr>
        <w:t xml:space="preserve"> </w:t>
      </w:r>
      <w:r>
        <w:rPr>
          <w:b/>
          <w:bCs/>
        </w:rPr>
        <w:t xml:space="preserve">not by the fix merging, and not by a later full-suite run being green.</w:t>
      </w:r>
      <w:r>
        <w:t xml:space="preserve"> </w:t>
      </w:r>
      <w:r>
        <w:rPr>
          <w:b/>
          <w:bCs/>
        </w:rPr>
        <w:t xml:space="preserve">[prompted by: 800-53 SI-2b]</w:t>
      </w:r>
      <w:r>
        <w:t xml:space="preserve"> </w:t>
      </w:r>
      <w:r>
        <w:t xml:space="preserve">The control asks that remediation be tested for effectiveness and for</w:t>
      </w:r>
      <w:r>
        <w:t xml:space="preserve"> </w:t>
      </w:r>
      <w:r>
        <w:t xml:space="preserve">side effects before installation. Naming the originating detector as the thing that has to change its</w:t>
      </w:r>
      <w:r>
        <w:t xml:space="preserve"> </w:t>
      </w:r>
      <w:r>
        <w:t xml:space="preserve">verdict is narrower than that, and no catalog states it as a requirement -- it is this document's.</w:t>
      </w:r>
      <w:r>
        <w:t xml:space="preserve"> </w:t>
      </w:r>
      <w:r>
        <w:t xml:space="preserve">A merged fix is a change with an intention attached to it. A green suite establishes that the suite</w:t>
      </w:r>
      <w:r>
        <w:t xml:space="preserve"> </w:t>
      </w:r>
      <w:r>
        <w:t xml:space="preserve">passed; it does not establish that this finding's detector ran and changed its verdict. Those are two</w:t>
      </w:r>
      <w:r>
        <w:t xml:space="preserve"> </w:t>
      </w:r>
      <w:r>
        <w:t xml:space="preserve">different sentences, and only the second one closes anything.</w:t>
      </w:r>
    </w:p>
    <w:p>
      <w:pPr>
        <w:pStyle w:val="BodyText"/>
      </w:pPr>
      <w:r>
        <w:rPr>
          <w:b/>
          <w:bCs/>
        </w:rPr>
        <w:t xml:space="preserve">The confirming run has to be a mirror copy of the original: same check, same ruleset, same scope.</w:t>
      </w:r>
      <w:r>
        <w:t xml:space="preserve"> </w:t>
      </w:r>
      <w:r>
        <w:rPr>
          <w:b/>
          <w:bCs/>
        </w:rPr>
        <w:t xml:space="preserve">[derived: 800-115 section 8.3]</w:t>
      </w:r>
      <w:r>
        <w:t xml:space="preserve"> </w:t>
      </w:r>
      <w:r>
        <w:t xml:space="preserve">A fix confirmed by a differently-configured run has not been</w:t>
      </w:r>
      <w:r>
        <w:t xml:space="preserve"> </w:t>
      </w:r>
      <w:r>
        <w:t xml:space="preserve">confirmed. This is the failure mode</w:t>
      </w:r>
      <w:r>
        <w:t xml:space="preserve"> </w:t>
      </w:r>
      <w:hyperlink w:anchor="Xa04daca1c49463ed52ff2475309af2fe8799704">
        <w:r>
          <w:rPr>
            <w:rStyle w:val="Hyperlink"/>
          </w:rPr>
          <w:t xml:space="preserve">section 5</w:t>
        </w:r>
      </w:hyperlink>
      <w:r>
        <w:t xml:space="preserve"> </w:t>
      </w:r>
      <w:r>
        <w:t xml:space="preserve">already names for</w:t>
      </w:r>
      <w:r>
        <w:t xml:space="preserve"> </w:t>
      </w:r>
      <w:r>
        <w:t xml:space="preserve">baselines: zero findings on a weak ruleset proves nothing. Applied to the closing run instead of the</w:t>
      </w:r>
      <w:r>
        <w:t xml:space="preserve"> </w:t>
      </w:r>
      <w:r>
        <w:t xml:space="preserve">opening one, it is the part that makes a retest mean anything rather than being a second green badge.</w:t>
      </w:r>
    </w:p>
    <w:p>
      <w:pPr>
        <w:pStyle w:val="BodyText"/>
      </w:pPr>
      <w:r>
        <w:t xml:space="preserve">Record three fields per closed finding: the finding identifier, the fix commit, and the identifier of</w:t>
      </w:r>
      <w:r>
        <w:t xml:space="preserve"> </w:t>
      </w:r>
      <w:r>
        <w:t xml:space="preserve">the confirming run. The third field is the one carrying the weight, because a reviewer can resolve a</w:t>
      </w:r>
      <w:r>
        <w:t xml:space="preserve"> </w:t>
      </w:r>
      <w:r>
        <w:t xml:space="preserve">run identifier to a verdict and cannot resolve the word "fixed" to anything at all.</w:t>
      </w:r>
    </w:p>
    <w:p>
      <w:pPr>
        <w:pStyle w:val="BodyText"/>
      </w:pPr>
      <w:r>
        <w:t xml:space="preserve">Two ways this fails. Both are common enough to name rather than leave to inference.</w:t>
      </w:r>
    </w:p>
    <w:p>
      <w:pPr>
        <w:pStyle w:val="BodyText"/>
      </w:pPr>
      <w:r>
        <w:t xml:space="preserve">The fix merges and the check is never re-run, because the check that produced the finding only fires</w:t>
      </w:r>
      <w:r>
        <w:t xml:space="preserve"> </w:t>
      </w:r>
      <w:r>
        <w:t xml:space="preserve">on a schedule. For anything caught by a blocking check the retest is automatic by construction and</w:t>
      </w:r>
      <w:r>
        <w:t xml:space="preserve"> </w:t>
      </w:r>
      <w:r>
        <w:t xml:space="preserve">this rule costs nothing -- most of the value is simply in saying that this is what closure means. The</w:t>
      </w:r>
      <w:r>
        <w:t xml:space="preserve"> </w:t>
      </w:r>
      <w:r>
        <w:t xml:space="preserve">manual work is entirely in the scheduled and advisory jobs, which are precisely the ones nobody</w:t>
      </w:r>
      <w:r>
        <w:t xml:space="preserve"> </w:t>
      </w:r>
      <w:r>
        <w:t xml:space="preserve">re-runs on purpose.</w:t>
      </w:r>
    </w:p>
    <w:p>
      <w:pPr>
        <w:pStyle w:val="BodyText"/>
      </w:pPr>
      <w:r>
        <w:t xml:space="preserve">The finding is closed by adding a suppression. Under</w:t>
      </w:r>
      <w:r>
        <w:t xml:space="preserve"> </w:t>
      </w:r>
      <w:hyperlink w:anchor="X166d910d570b75bb8e35866cbb9a8eb190f1767">
        <w:r>
          <w:rPr>
            <w:rStyle w:val="Hyperlink"/>
          </w:rPr>
          <w:t xml:space="preserve">section 16</w:t>
        </w:r>
      </w:hyperlink>
      <w:r>
        <w:t xml:space="preserve"> </w:t>
      </w:r>
      <w:r>
        <w:t xml:space="preserve">a suppressed</w:t>
      </w:r>
      <w:r>
        <w:t xml:space="preserve"> </w:t>
      </w:r>
      <w:r>
        <w:t xml:space="preserve">rule class is a control that has been turned off, so a suppression routes the finding into the</w:t>
      </w:r>
      <w:r>
        <w:t xml:space="preserve"> </w:t>
      </w:r>
      <w:r>
        <w:t xml:space="preserve">suppression review and never into the closed column. Without that clause stated outright, this rule</w:t>
      </w:r>
      <w:r>
        <w:t xml:space="preserve"> </w:t>
      </w:r>
      <w:r>
        <w:t xml:space="preserve">makes the closure count look better while making the posture worse -- which is the exact species of</w:t>
      </w:r>
      <w:r>
        <w:t xml:space="preserve"> </w:t>
      </w:r>
      <w:r>
        <w:t xml:space="preserve">badge the anti-metrics table in</w:t>
      </w:r>
      <w:r>
        <w:t xml:space="preserve"> </w:t>
      </w:r>
      <w:hyperlink w:anchor="Xa04daca1c49463ed52ff2475309af2fe8799704">
        <w:r>
          <w:rPr>
            <w:rStyle w:val="Hyperlink"/>
          </w:rPr>
          <w:t xml:space="preserve">section 5</w:t>
        </w:r>
      </w:hyperlink>
      <w:r>
        <w:t xml:space="preserve"> </w:t>
      </w:r>
      <w:r>
        <w:t xml:space="preserve">exists to catch.</w:t>
      </w:r>
    </w:p>
    <w:p>
      <w:pPr>
        <w:pStyle w:val="BodyText"/>
      </w:pPr>
      <w:r>
        <w:t xml:space="preserve">Every finding therefore ends in exactly one of two places: closed by retest, or held under a dated</w:t>
      </w:r>
      <w:r>
        <w:t xml:space="preserve"> </w:t>
      </w:r>
      <w:r>
        <w:t xml:space="preserve">signed acceptance in</w:t>
      </w:r>
      <w:r>
        <w:t xml:space="preserve"> </w:t>
      </w:r>
      <w:hyperlink w:anchor="X2e76d4b347a06a9540373165195f11ae36f497b">
        <w:r>
          <w:rPr>
            <w:rStyle w:val="Hyperlink"/>
          </w:rPr>
          <w:t xml:space="preserve">section 13</w:t>
        </w:r>
      </w:hyperlink>
      <w:r>
        <w:t xml:space="preserve">. A finding in neither is an open</w:t>
      </w:r>
      <w:r>
        <w:t xml:space="preserve"> </w:t>
      </w:r>
      <w:r>
        <w:t xml:space="preserve">item wearing the costume of a closed one.</w:t>
      </w:r>
    </w:p>
    <w:p>
      <w:pPr>
        <w:pStyle w:val="BodyText"/>
      </w:pPr>
      <w:r>
        <w:t xml:space="preserve">The cost is three fields in a tracker you already have, plus a re-run that was going to happen anyway,</w:t>
      </w:r>
      <w:r>
        <w:t xml:space="preserve"> </w:t>
      </w:r>
      <w:r>
        <w:t xml:space="preserve">so this adds no row to the release gate. It is</w:t>
      </w:r>
      <w:r>
        <w:t xml:space="preserve"> </w:t>
      </w:r>
      <w:hyperlink w:anchor="Xa04daca1c49463ed52ff2475309af2fe8799704">
        <w:r>
          <w:rPr>
            <w:rStyle w:val="Hyperlink"/>
            <w:i/>
            <w:iCs/>
          </w:rPr>
          <w:t xml:space="preserve">fire the failure class at the gate before crediting its green</w:t>
        </w:r>
      </w:hyperlink>
      <w:r>
        <w:t xml:space="preserve"> </w:t>
      </w:r>
      <w:r>
        <w:t xml:space="preserve">from</w:t>
      </w:r>
      <w:r>
        <w:t xml:space="preserve"> </w:t>
      </w:r>
      <w:hyperlink w:anchor="Xa04daca1c49463ed52ff2475309af2fe8799704">
        <w:r>
          <w:rPr>
            <w:rStyle w:val="Hyperlink"/>
          </w:rPr>
          <w:t xml:space="preserve">section 5</w:t>
        </w:r>
      </w:hyperlink>
      <w:r>
        <w:t xml:space="preserve">, applied per</w:t>
      </w:r>
      <w:r>
        <w:t xml:space="preserve"> </w:t>
      </w:r>
      <w:r>
        <w:t xml:space="preserve">finding rather than per control.</w:t>
      </w:r>
    </w:p>
    <w:p>
      <w:pPr>
        <w:pStyle w:val="BodyText"/>
      </w:pPr>
      <w:r>
        <w:t xml:space="preserve">Measure time-to-remediate against the windows you set.</w:t>
      </w:r>
      <w:r>
        <w:t xml:space="preserve"> </w:t>
      </w:r>
      <w:r>
        <w:rPr>
          <w:b/>
          <w:bCs/>
        </w:rPr>
        <w:t xml:space="preserve">[derived: 800-53 SI-2(3)]</w:t>
      </w:r>
      <w:r>
        <w:t xml:space="preserve"> </w:t>
      </w:r>
      <w:r>
        <w:t xml:space="preserve">Record the</w:t>
      </w:r>
      <w:r>
        <w:t xml:space="preserve"> </w:t>
      </w:r>
      <w:r>
        <w:t xml:space="preserve">identification date and the remediation date per finding, and compare the distribution against your</w:t>
      </w:r>
      <w:r>
        <w:t xml:space="preserve"> </w:t>
      </w:r>
      <w:r>
        <w:t xml:space="preserve">stated windows the next time you set them. A window you have never measured against is a number you</w:t>
      </w:r>
      <w:r>
        <w:t xml:space="preserve"> </w:t>
      </w:r>
      <w:r>
        <w:t xml:space="preserve">picked, and this document already forbids treating a picked number as a threshold -- so whatever the</w:t>
      </w:r>
      <w:r>
        <w:t xml:space="preserve"> </w:t>
      </w:r>
      <w:r>
        <w:t xml:space="preserve">data suggests, the resulting window stays labelled project-set and directional. This is also where the</w:t>
      </w:r>
      <w:r>
        <w:t xml:space="preserve"> </w:t>
      </w:r>
      <w:r>
        <w:t xml:space="preserve">waiting period on an unfixable upstream advisory finally gets recorded, rather than being a discipline</w:t>
      </w:r>
      <w:r>
        <w:t xml:space="preserve"> </w:t>
      </w:r>
      <w:r>
        <w:t xml:space="preserve">with nowhere to live.</w:t>
      </w:r>
    </w:p>
    <w:bookmarkEnd w:id="51"/>
    <w:bookmarkStart w:id="53" w:name="X8d72319090a80d3626098f71df57004d8b137c9"/>
    <w:p>
      <w:pPr>
        <w:pStyle w:val="Heading3"/>
      </w:pPr>
      <w:r>
        <w:t xml:space="preserve">The producer half: an intake a reporter can find, and an advisory a tool can read</w:t>
      </w:r>
    </w:p>
    <w:p>
      <w:pPr>
        <w:pStyle w:val="FirstParagraph"/>
      </w:pPr>
      <w:hyperlink w:anchor="Xf8794b0126bc78285fb10778097a0695650e57d">
        <w:r>
          <w:rPr>
            <w:rStyle w:val="Hyperlink"/>
          </w:rPr>
          <w:t xml:space="preserve">Section 1</w:t>
        </w:r>
      </w:hyperlink>
      <w:r>
        <w:t xml:space="preserve">'s split already puts vulnerability</w:t>
      </w:r>
      <w:r>
        <w:t xml:space="preserve"> </w:t>
      </w:r>
      <w:r>
        <w:t xml:space="preserve">response and disclosure in the producing project's column, opposite monitoring, patching and incident</w:t>
      </w:r>
      <w:r>
        <w:t xml:space="preserve"> </w:t>
      </w:r>
      <w:r>
        <w:t xml:space="preserve">response in the operating organization's. The right-hand half is written down. The left-hand half is</w:t>
      </w:r>
      <w:r>
        <w:t xml:space="preserve"> </w:t>
      </w:r>
      <w:r>
        <w:t xml:space="preserve">the list at the top of this section, and that list says the machinery must exist without saying what a</w:t>
      </w:r>
      <w:r>
        <w:t xml:space="preserve"> </w:t>
      </w:r>
      <w:r>
        <w:t xml:space="preserve">reporter or an adopter ever sees of it. Three things are what they actually encounter, and two more</w:t>
      </w:r>
      <w:r>
        <w:t xml:space="preserve"> </w:t>
      </w:r>
      <w:r>
        <w:t xml:space="preserve">are decisions that show from outside only by never having been made.</w:t>
      </w:r>
    </w:p>
    <w:p>
      <w:pPr>
        <w:pStyle w:val="BodyText"/>
      </w:pPr>
      <w:r>
        <w:t xml:space="preserve">Publish the address of the private intake channel where a reporter will look, and state what happens</w:t>
      </w:r>
      <w:r>
        <w:t xml:space="preserve"> </w:t>
      </w:r>
      <w:r>
        <w:t xml:space="preserve">next. What is published is where to send a report, never the reports: the channel stays confidential,</w:t>
      </w:r>
      <w:r>
        <w:t xml:space="preserve"> </w:t>
      </w:r>
      <w:r>
        <w:t xml:space="preserve">per the list above, and only its address and its terms are public. Publish, at least:</w:t>
      </w:r>
    </w:p>
    <w:p>
      <w:pPr>
        <w:pStyle w:val="Compact"/>
        <w:numPr>
          <w:ilvl w:val="0"/>
          <w:numId w:val="1012"/>
        </w:numPr>
      </w:pPr>
      <w:r>
        <w:t xml:space="preserve">a security contact at a documented address</w:t>
      </w:r>
    </w:p>
    <w:p>
      <w:pPr>
        <w:pStyle w:val="Compact"/>
        <w:numPr>
          <w:ilvl w:val="0"/>
          <w:numId w:val="1012"/>
        </w:numPr>
      </w:pPr>
      <w:r>
        <w:t xml:space="preserve">a policy file in the repository where the source host surfaces it</w:t>
      </w:r>
    </w:p>
    <w:p>
      <w:pPr>
        <w:pStyle w:val="Compact"/>
        <w:numPr>
          <w:ilvl w:val="0"/>
          <w:numId w:val="1012"/>
        </w:numPr>
      </w:pPr>
      <w:r>
        <w:t xml:space="preserve">a stated acknowledgment time</w:t>
      </w:r>
    </w:p>
    <w:p>
      <w:pPr>
        <w:pStyle w:val="FirstParagraph"/>
      </w:pPr>
      <w:r>
        <w:t xml:space="preserve">Say what you will not do in the same place: no payment, no bounty, no timeline beyond the bands, and</w:t>
      </w:r>
      <w:r>
        <w:t xml:space="preserve"> </w:t>
      </w:r>
      <w:r>
        <w:t xml:space="preserve">whether a reporter is credited. An unstated expectation is where a coordinated report becomes a public</w:t>
      </w:r>
      <w:r>
        <w:t xml:space="preserve"> </w:t>
      </w:r>
      <w:r>
        <w:t xml:space="preserve">one. Requiring an account, a login or a form to file is the same defect as an unmonitored address: a</w:t>
      </w:r>
      <w:r>
        <w:t xml:space="preserve"> </w:t>
      </w:r>
      <w:r>
        <w:t xml:space="preserve">channel that exists and does not work. The dry run in the list above is the only thing that</w:t>
      </w:r>
      <w:r>
        <w:t xml:space="preserve"> </w:t>
      </w:r>
      <w:r>
        <w:t xml:space="preserve">establishes it does.</w:t>
      </w:r>
    </w:p>
    <w:p>
      <w:pPr>
        <w:pStyle w:val="BodyText"/>
      </w:pPr>
      <w:r>
        <w:t xml:space="preserve">Publish the windows with the clock start next to each one. The bands are required above, and so is</w:t>
      </w:r>
      <w:r>
        <w:t xml:space="preserve"> </w:t>
      </w:r>
      <w:r>
        <w:t xml:space="preserve">stating where the clock starts. The addition is that the published version carries both, because a</w:t>
      </w:r>
      <w:r>
        <w:t xml:space="preserve"> </w:t>
      </w:r>
      <w:r>
        <w:t xml:space="preserve">window whose start point is unstated cannot be missed and is therefore not a commitment. Label them</w:t>
      </w:r>
      <w:r>
        <w:t xml:space="preserve"> </w:t>
      </w:r>
      <w:r>
        <w:t xml:space="preserve">project-set, per this document's position that no framework supplies a validated number.</w:t>
      </w:r>
    </w:p>
    <w:p>
      <w:pPr>
        <w:pStyle w:val="BodyText"/>
      </w:pPr>
      <w:r>
        <w:t xml:space="preserve">Ship an advisory per fixed vulnerability, on a channel machines read. A changelog line is not an</w:t>
      </w:r>
      <w:r>
        <w:t xml:space="preserve"> </w:t>
      </w:r>
      <w:r>
        <w:t xml:space="preserve">advisory. Nothing in an adopter's tooling reads prose, so a fix announced only that way reaches the</w:t>
      </w:r>
      <w:r>
        <w:t xml:space="preserve"> </w:t>
      </w:r>
      <w:r>
        <w:t xml:space="preserve">adopters who happened to be reading. Publish at least the affected versions and the fixed version, the</w:t>
      </w:r>
      <w:r>
        <w:t xml:space="preserve"> </w:t>
      </w:r>
      <w:r>
        <w:t xml:space="preserve">impact in one sentence, whether a configuration change mitigates it without upgrading, and a stable</w:t>
      </w:r>
      <w:r>
        <w:t xml:space="preserve"> </w:t>
      </w:r>
      <w:r>
        <w:t xml:space="preserve">identifier. Where the ecosystem has a public advisory database or an identifier authority, file there</w:t>
      </w:r>
      <w:r>
        <w:t xml:space="preserve"> </w:t>
      </w:r>
      <w:r>
        <w:t xml:space="preserve">too: that is the step that puts the entry into the feeds a blocking dependency audit consumes, and</w:t>
      </w:r>
      <w:r>
        <w:t xml:space="preserve"> </w:t>
      </w:r>
      <w:hyperlink r:id="rId52">
        <w:r>
          <w:rPr>
            <w:rStyle w:val="Hyperlink"/>
          </w:rPr>
          <w:t xml:space="preserve">dependency and artifact integrity</w:t>
        </w:r>
      </w:hyperlink>
      <w:r>
        <w:t xml:space="preserve"> </w:t>
      </w:r>
      <w:r>
        <w:t xml:space="preserve">covers that consuming half in full.</w:t>
      </w:r>
      <w:r>
        <w:t xml:space="preserve"> </w:t>
      </w:r>
      <w:r>
        <w:t xml:space="preserve">Issuing one is the same act seen from the producing end, and the asymmetry is worth naming. It is the</w:t>
      </w:r>
      <w:r>
        <w:t xml:space="preserve"> </w:t>
      </w:r>
      <w:r>
        <w:t xml:space="preserve">common state: a project can be rigorous about every advisory it reads and have never written one.</w:t>
      </w:r>
    </w:p>
    <w:p>
      <w:pPr>
        <w:pStyle w:val="BodyText"/>
      </w:pPr>
      <w:r>
        <w:t xml:space="preserve">Decide the threshold for what gets an advisory, and write it down. Not every security-relevant fix</w:t>
      </w:r>
      <w:r>
        <w:t xml:space="preserve"> </w:t>
      </w:r>
      <w:r>
        <w:t xml:space="preserve">warrants one. A project that has issued none has usually never decided rather than decided not to, and</w:t>
      </w:r>
      <w:r>
        <w:t xml:space="preserve"> </w:t>
      </w:r>
      <w:r>
        <w:t xml:space="preserve">those two look identical from outside.</w:t>
      </w:r>
    </w:p>
    <w:p>
      <w:pPr>
        <w:pStyle w:val="BodyText"/>
      </w:pPr>
      <w:r>
        <w:t xml:space="preserve">Set a maximum embargo, so coordinated does not become indefinite. Disclosure after a fix exists is</w:t>
      </w:r>
      <w:r>
        <w:t xml:space="preserve"> </w:t>
      </w:r>
      <w:r>
        <w:t xml:space="preserve">already required above. What it leaves open is the fix that never quite lands and the report that is</w:t>
      </w:r>
      <w:r>
        <w:t xml:space="preserve"> </w:t>
      </w:r>
      <w:r>
        <w:t xml:space="preserve">therefore never published, which is</w:t>
      </w:r>
      <w:r>
        <w:t xml:space="preserve"> </w:t>
      </w:r>
      <w:hyperlink w:anchor="X2e76d4b347a06a9540373165195f11ae36f497b">
        <w:r>
          <w:rPr>
            <w:rStyle w:val="Hyperlink"/>
          </w:rPr>
          <w:t xml:space="preserve">section 13</w:t>
        </w:r>
      </w:hyperlink>
      <w:r>
        <w:t xml:space="preserve">'s</w:t>
      </w:r>
      <w:r>
        <w:t xml:space="preserve"> </w:t>
      </w:r>
      <w:r>
        <w:t xml:space="preserve">permanent-excuse shape in different clothes. State the point at which you publish with or without a</w:t>
      </w:r>
      <w:r>
        <w:t xml:space="preserve"> </w:t>
      </w:r>
      <w:r>
        <w:t xml:space="preserve">fix, including the mitigation if that is all there is.</w:t>
      </w:r>
    </w:p>
    <w:p>
      <w:pPr>
        <w:pStyle w:val="BodyText"/>
      </w:pPr>
      <w:r>
        <w:t xml:space="preserve">Two honest limits.</w:t>
      </w:r>
      <w:r>
        <w:t xml:space="preserve"> </w:t>
      </w:r>
      <w:r>
        <w:rPr>
          <w:b/>
          <w:bCs/>
        </w:rPr>
        <w:t xml:space="preserve">An advisory tells an adopter a fix exists. It does not deploy it.</w:t>
      </w:r>
      <w:r>
        <w:t xml:space="preserve"> </w:t>
      </w:r>
      <w:r>
        <w:t xml:space="preserve">Released is</w:t>
      </w:r>
      <w:r>
        <w:t xml:space="preserve"> </w:t>
      </w:r>
      <w:r>
        <w:t xml:space="preserve">not deployed, deploying is the right-hand column of</w:t>
      </w:r>
      <w:r>
        <w:t xml:space="preserve"> </w:t>
      </w:r>
      <w:hyperlink w:anchor="Xf8794b0126bc78285fb10778097a0695650e57d">
        <w:r>
          <w:rPr>
            <w:rStyle w:val="Hyperlink"/>
          </w:rPr>
          <w:t xml:space="preserve">section 1</w:t>
        </w:r>
      </w:hyperlink>
      <w:r>
        <w:t xml:space="preserve">'s table, and writing the advisory as</w:t>
      </w:r>
      <w:r>
        <w:t xml:space="preserve"> </w:t>
      </w:r>
      <w:r>
        <w:t xml:space="preserve">though issuing it discharged anything over there is the over-reach that table exists to prevent. And</w:t>
      </w:r>
      <w:r>
        <w:t xml:space="preserve"> </w:t>
      </w:r>
      <w:r>
        <w:rPr>
          <w:b/>
          <w:bCs/>
        </w:rPr>
        <w:t xml:space="preserve">this is a producer's disclosure path, not an incident response program.</w:t>
      </w:r>
      <w:r>
        <w:t xml:space="preserve"> </w:t>
      </w:r>
      <w:r>
        <w:t xml:space="preserve">Incidents are generated</w:t>
      </w:r>
      <w:r>
        <w:t xml:space="preserve"> </w:t>
      </w:r>
      <w:r>
        <w:t xml:space="preserve">by running the software. The coverage table below records the catalog's incident-response family as</w:t>
      </w:r>
      <w:r>
        <w:t xml:space="preserve"> </w:t>
      </w:r>
      <w:r>
        <w:t xml:space="preserve">not addressed here and gives the reason, and nothing in this subsection changes it.</w:t>
      </w:r>
    </w:p>
    <w:p>
      <w:pPr>
        <w:pStyle w:val="BodyText"/>
      </w:pPr>
      <w:r>
        <w:t xml:space="preserve">Recommended: published artifacts and a stated policy. The end-to-end dry run that already has to</w:t>
      </w:r>
      <w:r>
        <w:t xml:space="preserve"> </w:t>
      </w:r>
      <w:r>
        <w:t xml:space="preserve">happen once is where this gets exercised -- file a test report into the intake, take a test advisory</w:t>
      </w:r>
      <w:r>
        <w:t xml:space="preserve"> </w:t>
      </w:r>
      <w:r>
        <w:t xml:space="preserve">through the announce path. It adds no second rehearsal and no row to the release gate in</w:t>
      </w:r>
      <w:r>
        <w:t xml:space="preserve"> </w:t>
      </w:r>
      <w:hyperlink w:anchor="X166d910d570b75bb8e35866cbb9a8eb190f1767">
        <w:r>
          <w:rPr>
            <w:rStyle w:val="Hyperlink"/>
          </w:rPr>
          <w:t xml:space="preserve">section 16</w:t>
        </w:r>
      </w:hyperlink>
      <w:r>
        <w:t xml:space="preserve">.</w:t>
      </w:r>
    </w:p>
    <w:p>
      <w:r>
        <w:pict>
          <v:rect style="width:0;height:1.5pt" o:hralign="center" o:hrstd="t" o:hr="t"/>
        </w:pict>
      </w:r>
    </w:p>
    <w:bookmarkEnd w:id="53"/>
    <w:bookmarkEnd w:id="54"/>
    <w:bookmarkStart w:id="55" w:name="X2e76d4b347a06a9540373165195f11ae36f497b"/>
    <w:p>
      <w:pPr>
        <w:pStyle w:val="Heading2"/>
      </w:pPr>
      <w:r>
        <w:t xml:space="preserve">13. Deviations and risk acceptance</w:t>
      </w:r>
    </w:p>
    <w:p>
      <w:pPr>
        <w:pStyle w:val="FirstParagraph"/>
      </w:pPr>
      <w:r>
        <w:t xml:space="preserve">Where current practice differs from what the standard requires, write the deviation down rather than</w:t>
      </w:r>
      <w:r>
        <w:t xml:space="preserve"> </w:t>
      </w:r>
      <w:r>
        <w:t xml:space="preserve">quietly redefining the requirement. Each entry carries four fields: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t xml:space="preserve">One entry filled in, for an invented single-maintainer project. Illustrative only: it describes no</w:t>
      </w:r>
      <w:r>
        <w:t xml:space="preserve"> </w:t>
      </w:r>
      <w:r>
        <w:t xml:space="preserve">real project, the date is made up, and it is</w:t>
      </w:r>
      <w:r>
        <w:t xml:space="preserve"> </w:t>
      </w:r>
      <w:r>
        <w:rPr>
          <w:b/>
          <w:bCs/>
        </w:rPr>
        <w:t xml:space="preserve">not this document's own register</w:t>
      </w:r>
      <w:r>
        <w:t xml:space="preserve"> </w:t>
      </w:r>
      <w:r>
        <w:t xml:space="preserve">-- publishing that</w:t>
      </w:r>
      <w:r>
        <w:t xml:space="preserve"> </w:t>
      </w:r>
      <w:r>
        <w:t xml:space="preserve">is what the rule two paragraphs below forbids. The shape is the point; read nothing about anyone's</w:t>
      </w:r>
      <w:r>
        <w:t xml:space="preserve"> </w:t>
      </w:r>
      <w:r>
        <w:t xml:space="preserve">posture out of the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The control not met, and the date the risk was accepted</w:t>
            </w:r>
          </w:p>
        </w:tc>
        <w:tc>
          <w:tcPr/>
          <w:p>
            <w:pPr>
              <w:pStyle w:val="Compact"/>
            </w:pPr>
            <w:r>
              <w:t xml:space="preserve">Peer review by a second reviewer, accepted 2026-01-15</w:t>
            </w:r>
          </w:p>
        </w:tc>
      </w:tr>
      <w:tr>
        <w:tc>
          <w:tcPr/>
          <w:p>
            <w:pPr>
              <w:pStyle w:val="Compact"/>
            </w:pPr>
            <w:r>
              <w:t xml:space="preserve">The compensating controls actually in force</w:t>
            </w:r>
          </w:p>
        </w:tc>
        <w:tc>
          <w:tcPr/>
          <w:p>
            <w:pPr>
              <w:pStyle w:val="Compact"/>
            </w:pPr>
            <w:r>
              <w:t xml:space="preserve">Blocking static analysis and dependency audit that cannot be waived, AI-run review a human arbitrates, branch protection with required checks, and no direct pushes to the trunk -- each listed only where it is actually in force</w:t>
            </w:r>
          </w:p>
        </w:tc>
      </w:tr>
      <w:tr>
        <w:tc>
          <w:tcPr/>
          <w:p>
            <w:pPr>
              <w:pStyle w:val="Compact"/>
            </w:pPr>
            <w:r>
              <w:t xml:space="preserve">The trigger that ends it</w:t>
            </w:r>
          </w:p>
        </w:tc>
        <w:tc>
          <w:tcPr/>
          <w:p>
            <w:pPr>
              <w:pStyle w:val="Compact"/>
            </w:pPr>
            <w:r>
              <w:t xml:space="preserve">A second maintainer joins</w:t>
            </w:r>
          </w:p>
        </w:tc>
      </w:tr>
      <w:tr>
        <w:tc>
          <w:tcPr/>
          <w:p>
            <w:pPr>
              <w:pStyle w:val="Compact"/>
            </w:pPr>
            <w:r>
              <w:t xml:space="preserve">A pointer to where the intended shape is written down</w:t>
            </w:r>
          </w:p>
        </w:tc>
        <w:tc>
          <w:tcPr/>
          <w:p>
            <w:pPr>
              <w:pStyle w:val="Compact"/>
            </w:pPr>
            <w:hyperlink w:anchor="Xd0d2e3c2022a6968f9346992769e0293d735ca2">
              <w:r>
                <w:rPr>
                  <w:rStyle w:val="Hyperlink"/>
                </w:rPr>
                <w:t xml:space="preserve">Section 4</w:t>
              </w:r>
            </w:hyperlink>
            <w:r>
              <w:t xml:space="preserve">, including the constraint that this set is described as a compensating control and explicitly not as an independent audit</w:t>
            </w:r>
          </w:p>
        </w:tc>
      </w:tr>
    </w:tbl>
    <w:p>
      <w:pPr>
        <w:pStyle w:val="BodyText"/>
      </w:pPr>
      <w:r>
        <w:rPr>
          <w:b/>
          <w:bCs/>
        </w:rPr>
        <w:t xml:space="preserve">Only a dated, signed acceptance is governance.</w:t>
      </w:r>
      <w:r>
        <w:t xml:space="preserve"> </w:t>
      </w:r>
      <w:r>
        <w:t xml:space="preserve">A register of accepted risks is not, on its own. An</w:t>
      </w:r>
      <w:r>
        <w:t xml:space="preserve"> </w:t>
      </w:r>
      <w:r>
        <w:t xml:space="preserve">unsigned acceptance is an un-accepted open gap wearing the costume of a decision, and a release gate</w:t>
      </w:r>
      <w:r>
        <w:t xml:space="preserve"> </w:t>
      </w:r>
      <w:r>
        <w:t xml:space="preserve">that leans on one is not a gate.</w:t>
      </w:r>
    </w:p>
    <w:p>
      <w:pPr>
        <w:pStyle w:val="BodyText"/>
      </w:pPr>
      <w:r>
        <w:rPr>
          <w:b/>
          <w:bCs/>
        </w:rPr>
        <w:t xml:space="preserve">Publish the rule, not the inventory.</w:t>
      </w:r>
      <w:r>
        <w:t xml:space="preserve"> </w:t>
      </w:r>
      <w:r>
        <w:t xml:space="preserve">A register enumerating which controls are currently absent,</w:t>
      </w:r>
      <w:r>
        <w:t xml:space="preserve"> </w:t>
      </w:r>
      <w:r>
        <w:t xml:space="preserve">which are off by default, and what is holding each one safe is an operational document with a narrow</w:t>
      </w:r>
      <w:r>
        <w:t xml:space="preserve"> </w:t>
      </w:r>
      <w:r>
        <w:t xml:space="preserve">audience. Keep it. Do not publish it, and do not reconstruct it in generalized form -- a generalized</w:t>
      </w:r>
      <w:r>
        <w:t xml:space="preserve"> </w:t>
      </w:r>
      <w:r>
        <w:t xml:space="preserve">list of the places a class of software is typically weak is the same artifact with the names filed</w:t>
      </w:r>
      <w:r>
        <w:t xml:space="preserve"> </w:t>
      </w:r>
      <w:r>
        <w:t xml:space="preserve">off.</w:t>
      </w:r>
    </w:p>
    <w:p>
      <w:pPr>
        <w:pStyle w:val="BodyText"/>
      </w:pPr>
      <w:r>
        <w:rPr>
          <w:b/>
          <w:bCs/>
        </w:rPr>
        <w:t xml:space="preserve">Mark added practices as recommended, and say they add no blocking gate.</w:t>
      </w:r>
      <w:r>
        <w:t xml:space="preserve"> </w:t>
      </w:r>
      <w:r>
        <w:t xml:space="preserve">When you grow a standard,</w:t>
      </w:r>
      <w:r>
        <w:t xml:space="preserve"> </w:t>
      </w:r>
      <w:r>
        <w:t xml:space="preserve">state each addition's normative force explicitly and say in the same paragraph that it introduces no</w:t>
      </w:r>
      <w:r>
        <w:t xml:space="preserve"> </w:t>
      </w:r>
      <w:r>
        <w:t xml:space="preserve">new blocking release gate and weakens no existing requirement. Additions without that marking either</w:t>
      </w:r>
      <w:r>
        <w:t xml:space="preserve"> </w:t>
      </w:r>
      <w:r>
        <w:t xml:space="preserve">get treated as mandatory and stall adoption, or get ignored and quietly hollow out the document.</w:t>
      </w:r>
    </w:p>
    <w:p>
      <w:r>
        <w:pict>
          <v:rect style="width:0;height:1.5pt" o:hralign="center" o:hrstd="t" o:hr="t"/>
        </w:pict>
      </w:r>
    </w:p>
    <w:bookmarkEnd w:id="55"/>
    <w:bookmarkStart w:id="56"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A project that ships nothing for a year runs no</w:t>
      </w:r>
      <w:r>
        <w:t xml:space="preserve"> </w:t>
      </w:r>
      <w:r>
        <w:t xml:space="preserve">security review in that year. Three of the ways a control degrades to nothing leave no trace a</w:t>
      </w:r>
      <w:r>
        <w:t xml:space="preserve"> </w:t>
      </w:r>
      <w:r>
        <w:t xml:space="preserve">per-change gate would ever see: a suppression added, a job flipped from blocking to advisory, and a</w:t>
      </w:r>
      <w:r>
        <w:t xml:space="preserve"> </w:t>
      </w:r>
      <w:r>
        <w:t xml:space="preserve">deviation whose ending trigger fired while its compensating control quietly became the permanent</w:t>
      </w:r>
      <w:r>
        <w:t xml:space="preserve"> </w:t>
      </w:r>
      <w:r>
        <w:t xml:space="preserve">state.</w:t>
      </w:r>
    </w:p>
    <w:p>
      <w:pPr>
        <w:pStyle w:val="BodyText"/>
      </w:pPr>
      <w:r>
        <w:t xml:space="preserve">Run a recurring pass on a stated cadence.</w:t>
      </w:r>
      <w:r>
        <w:t xml:space="preserve"> </w:t>
      </w:r>
      <w:r>
        <w:rPr>
          <w:b/>
          <w:bCs/>
        </w:rPr>
        <w:t xml:space="preserve">[derived: 800-53 CA-7b]</w:t>
      </w:r>
      <w:r>
        <w:t xml:space="preserve"> </w:t>
      </w:r>
      <w:r>
        <w:t xml:space="preserve">It does exactly four things, and</w:t>
      </w:r>
      <w:r>
        <w:t xml:space="preserve"> </w:t>
      </w:r>
      <w:r>
        <w:t xml:space="preserve">the count is a cap of this document's own rather than anything the catalog asks for:</w:t>
      </w:r>
    </w:p>
    <w:p>
      <w:pPr>
        <w:pStyle w:val="Compact"/>
        <w:numPr>
          <w:ilvl w:val="0"/>
          <w:numId w:val="1013"/>
        </w:numPr>
      </w:pPr>
      <w:r>
        <w:t xml:space="preserve">Sweep the deviations register for entries whose ending trigger has already fired, and for entries</w:t>
      </w:r>
      <w:r>
        <w:t xml:space="preserve"> </w:t>
      </w:r>
      <w:r>
        <w:t xml:space="preserve">not reviewed since the last pass.</w:t>
      </w:r>
    </w:p>
    <w:p>
      <w:pPr>
        <w:pStyle w:val="Compact"/>
        <w:numPr>
          <w:ilvl w:val="0"/>
          <w:numId w:val="1013"/>
        </w:numPr>
      </w:pPr>
      <w:r>
        <w:t xml:space="preserve">Re-confirm from the blocking-job list, not from a badge, that every check in the unwaivable set</w:t>
      </w:r>
      <w:r>
        <w:t xml:space="preserve"> </w:t>
      </w:r>
      <w:r>
        <w:t xml:space="preserve">still blocks.</w:t>
      </w:r>
    </w:p>
    <w:p>
      <w:pPr>
        <w:pStyle w:val="Compact"/>
        <w:numPr>
          <w:ilvl w:val="0"/>
          <w:numId w:val="1013"/>
        </w:numPr>
      </w:pPr>
      <w:r>
        <w:t xml:space="preserve">Confirm the scanner suppression list has not grown unreviewed.</w:t>
      </w:r>
    </w:p>
    <w:p>
      <w:pPr>
        <w:pStyle w:val="Compact"/>
        <w:numPr>
          <w:ilvl w:val="0"/>
          <w:numId w:val="1013"/>
        </w:numPr>
      </w:pPr>
      <w:r>
        <w:t xml:space="preserve">Check whether a trust boundary now exists with no threat model.</w:t>
      </w:r>
    </w:p>
    <w:p>
      <w:pPr>
        <w:pStyle w:val="FirstParagraph"/>
      </w:pPr>
      <w:r>
        <w:t xml:space="preserve">Set the cadence yourself and label it project-set, consistent with this document's position that no</w:t>
      </w:r>
      <w:r>
        <w:t xml:space="preserve"> </w:t>
      </w:r>
      <w:r>
        <w:t xml:space="preserve">framework supplies a validated threshold. The evidence is a dated entry per pass recording what was</w:t>
      </w:r>
      <w:r>
        <w:t xml:space="preserve"> </w:t>
      </w:r>
      <w:r>
        <w:t xml:space="preserve">checked and what changed, which is also what gives the deviations register the ageing it needs to be</w:t>
      </w:r>
      <w:r>
        <w:t xml:space="preserve"> </w:t>
      </w:r>
      <w:r>
        <w:t xml:space="preserve">more than a list.</w:t>
      </w:r>
    </w:p>
    <w:p>
      <w:pPr>
        <w:pStyle w:val="BodyText"/>
      </w:pPr>
      <w:r>
        <w:t xml:space="preserve">Hold it to four. A periodic pass in a small team dies by growing. Somebody adds a fifth item and a</w:t>
      </w:r>
      <w:r>
        <w:t xml:space="preserve"> </w:t>
      </w:r>
      <w:r>
        <w:t xml:space="preserve">sixth, the pass stops being run, and an unrun scheduled control is worse than an absent one because it</w:t>
      </w:r>
      <w:r>
        <w:t xml:space="preserve"> </w:t>
      </w:r>
      <w:r>
        <w:t xml:space="preserve">still looks green from outside. The cadences named elsewhere -- the principal enumeration and the</w:t>
      </w:r>
      <w:r>
        <w:t xml:space="preserve"> </w:t>
      </w:r>
      <w:r>
        <w:t xml:space="preserve">pinned tool set in</w:t>
      </w:r>
      <w:r>
        <w:t xml:space="preserve"> </w:t>
      </w:r>
      <w:hyperlink w:anchor="X48eebdbfd8d38cb086e115614d17c7297664944">
        <w:r>
          <w:rPr>
            <w:rStyle w:val="Hyperlink"/>
          </w:rPr>
          <w:t xml:space="preserve">section 10</w:t>
        </w:r>
      </w:hyperlink>
      <w:r>
        <w:t xml:space="preserve"> </w:t>
      </w:r>
      <w:r>
        <w:t xml:space="preserve">-- are their own schedules against</w:t>
      </w:r>
      <w:r>
        <w:t xml:space="preserve"> </w:t>
      </w:r>
      <w:r>
        <w:t xml:space="preserve">their own artifacts, and folding them in here is the growth this rule exists to forbid.</w:t>
      </w:r>
    </w:p>
    <w:p>
      <w:pPr>
        <w:pStyle w:val="BodyText"/>
      </w:pPr>
      <w:r>
        <w:t xml:space="preserve">Prefer an event trigger to the calendar wherever an event exists. A trigger tied to a change fires</w:t>
      </w:r>
      <w:r>
        <w:t xml:space="preserve"> </w:t>
      </w:r>
      <w:r>
        <w:t xml:space="preserve">when the answer actually changed, and leaves the diff as its own evidence. A calendar reminder is the</w:t>
      </w:r>
      <w:r>
        <w:t xml:space="preserve"> </w:t>
      </w:r>
      <w:r>
        <w:t xml:space="preserve">first thing dropped in a busy month. The data-class table in</w:t>
      </w:r>
      <w:r>
        <w:t xml:space="preserve"> </w:t>
      </w:r>
      <w:hyperlink w:anchor="Xf8794b0126bc78285fb10778097a0695650e57d">
        <w:r>
          <w:rPr>
            <w:rStyle w:val="Hyperlink"/>
          </w:rPr>
          <w:t xml:space="preserve">section 1</w:t>
        </w:r>
      </w:hyperlink>
      <w:r>
        <w:t xml:space="preserve"> </w:t>
      </w:r>
      <w:r>
        <w:t xml:space="preserve">is the clearest case, which is why it</w:t>
      </w:r>
      <w:r>
        <w:t xml:space="preserve"> </w:t>
      </w:r>
      <w:r>
        <w:t xml:space="preserve">is event-triggered rather than a fifth item here. It is amended when a change adds a data class, gives</w:t>
      </w:r>
      <w:r>
        <w:t xml:space="preserve"> </w:t>
      </w:r>
      <w:r>
        <w:t xml:space="preserve">an existing class a new resting place, or adds a boundary.</w:t>
      </w:r>
      <w:r>
        <w:t xml:space="preserve"> </w:t>
      </w:r>
      <w:hyperlink w:anchor="X166d910d570b75bb8e35866cbb9a8eb190f1767">
        <w:r>
          <w:rPr>
            <w:rStyle w:val="Hyperlink"/>
          </w:rPr>
          <w:t xml:space="preserve">Section 16</w:t>
        </w:r>
      </w:hyperlink>
      <w:r>
        <w:t xml:space="preserve">'s gate carries the matching row.</w:t>
      </w:r>
    </w:p>
    <w:p>
      <w:pPr>
        <w:pStyle w:val="BodyText"/>
      </w:pPr>
      <w:r>
        <w:t xml:space="preserve">State the normative force plainly, because it is not uniform across this section. The four-item pass</w:t>
      </w:r>
      <w:r>
        <w:t xml:space="preserve"> </w:t>
      </w:r>
      <w:r>
        <w:t xml:space="preserve">is a recurring practice and blocks nothing. The event trigger on the data-class table does add one row</w:t>
      </w:r>
      <w:r>
        <w:t xml:space="preserve"> </w:t>
      </w:r>
      <w:r>
        <w:t xml:space="preserve">to the release gate in</w:t>
      </w:r>
      <w:r>
        <w:t xml:space="preserve"> </w:t>
      </w:r>
      <w:hyperlink w:anchor="X166d910d570b75bb8e35866cbb9a8eb190f1767">
        <w:r>
          <w:rPr>
            <w:rStyle w:val="Hyperlink"/>
          </w:rPr>
          <w:t xml:space="preserve">section 16</w:t>
        </w:r>
      </w:hyperlink>
      <w:r>
        <w:t xml:space="preserve"> </w:t>
      </w:r>
      <w:r>
        <w:t xml:space="preserve">-- the only new gate row this material</w:t>
      </w:r>
      <w:r>
        <w:t xml:space="preserve"> </w:t>
      </w:r>
      <w:r>
        <w:t xml:space="preserve">introduces -- and it is a row answerable from a diff rather than from a judgment.</w:t>
      </w:r>
    </w:p>
    <w:p>
      <w:r>
        <w:pict>
          <v:rect style="width:0;height:1.5pt" o:hralign="center" o:hrstd="t" o:hr="t"/>
        </w:pict>
      </w:r>
    </w:p>
    <w:bookmarkEnd w:id="56"/>
    <w:bookmarkStart w:id="59" w:name="X635127d1d4d4de93cff91f98240bebbfa4bd556"/>
    <w:p>
      <w:pPr>
        <w:pStyle w:val="Heading2"/>
      </w:pPr>
      <w:r>
        <w:t xml:space="preserve">15. Independent external verification</w:t>
      </w:r>
    </w:p>
    <w:p>
      <w:pPr>
        <w:pStyle w:val="FirstParagraph"/>
      </w:pPr>
      <w:r>
        <w:rPr>
          <w:b/>
          <w:bCs/>
        </w:rPr>
        <w:t xml:space="preserve">Third-party source review and penetration testing are the only controls an internally-run pipeline</w:t>
      </w:r>
      <w:r>
        <w:rPr>
          <w:b/>
          <w:bCs/>
        </w:rPr>
        <w:t xml:space="preserve"> </w:t>
      </w:r>
      <w:r>
        <w:rPr>
          <w:b/>
          <w:bCs/>
        </w:rPr>
        <w:t xml:space="preserve">cannot substitute for.</w:t>
      </w:r>
      <w:r>
        <w:t xml:space="preserve"> </w:t>
      </w:r>
      <w:r>
        <w:rPr>
          <w:b/>
          <w:bCs/>
        </w:rPr>
        <w:t xml:space="preserve">[prompted by: 800-53 CA-8(1)]</w:t>
      </w:r>
      <w:r>
        <w:t xml:space="preserve"> </w:t>
      </w:r>
      <w:r>
        <w:t xml:space="preserve">Their absence caps what you can honestly</w:t>
      </w:r>
      <w:r>
        <w:t xml:space="preserve"> </w:t>
      </w:r>
      <w:r>
        <w:t xml:space="preserve">claim, no matter how good the automated layer is.</w:t>
      </w:r>
    </w:p>
    <w:p>
      <w:pPr>
        <w:pStyle w:val="BodyText"/>
      </w:pPr>
      <w:r>
        <w:t xml:space="preserve">Dynamic testing was named in that sentence in an earlier version of this material, and has been</w:t>
      </w:r>
      <w:r>
        <w:t xml:space="preserve"> </w:t>
      </w:r>
      <w:r>
        <w:t xml:space="preserve">removed from it. That was wrong, and it mattered: it let a reader believe dynamic testing was</w:t>
      </w:r>
      <w:r>
        <w:t xml:space="preserve"> </w:t>
      </w:r>
      <w:r>
        <w:t xml:space="preserve">unavailable without funding. A developer-run malformed-input harness costs runner minutes rather than</w:t>
      </w:r>
      <w:r>
        <w:t xml:space="preserve"> </w:t>
      </w:r>
      <w:r>
        <w:t xml:space="preserve">money,</w:t>
      </w:r>
      <w:r>
        <w:t xml:space="preserve"> </w:t>
      </w:r>
      <w:hyperlink w:anchor="Xac02c7d32d5bb277c9e44f3436addfe1b1747df">
        <w:r>
          <w:rPr>
            <w:rStyle w:val="Hyperlink"/>
          </w:rPr>
          <w:t xml:space="preserve">section 2</w:t>
        </w:r>
      </w:hyperlink>
      <w:r>
        <w:t xml:space="preserve"> </w:t>
      </w:r>
      <w:r>
        <w:t xml:space="preserve">describes it, and</w:t>
      </w:r>
      <w:r>
        <w:t xml:space="preserve"> </w:t>
      </w:r>
      <w:hyperlink w:anchor="Xa04daca1c49463ed52ff2475309af2fe8799704">
        <w:r>
          <w:rPr>
            <w:rStyle w:val="Hyperlink"/>
          </w:rPr>
          <w:t xml:space="preserve">section 5</w:t>
        </w:r>
      </w:hyperlink>
      <w:r>
        <w:t xml:space="preserve"> </w:t>
      </w:r>
      <w:r>
        <w:t xml:space="preserve">says when it runs.</w:t>
      </w:r>
      <w:r>
        <w:t xml:space="preserve"> </w:t>
      </w:r>
      <w:r>
        <w:t xml:space="preserve">It is weaker than an external engagement, not out of reach without one, and both halves of that go in</w:t>
      </w:r>
      <w:r>
        <w:t xml:space="preserve"> </w:t>
      </w:r>
      <w:r>
        <w:t xml:space="preserve">together.</w:t>
      </w:r>
    </w:p>
    <w:bookmarkStart w:id="58" w:name="X8b98e4f88d127ae6f6acda887bb5aa503179c3d"/>
    <w:p>
      <w:pPr>
        <w:pStyle w:val="Heading3"/>
      </w:pPr>
      <w:r>
        <w:t xml:space="preserve">Write the engagement down before it starts</w:t>
      </w:r>
    </w:p>
    <w:p>
      <w:pPr>
        <w:pStyle w:val="FirstParagraph"/>
      </w:pPr>
      <w:r>
        <w:t xml:space="preserve">Scope the engagement in writing, and have it reviewed and approved before work begins.</w:t>
      </w:r>
      <w:r>
        <w:t xml:space="preserve"> </w:t>
      </w:r>
      <w:r>
        <w:rPr>
          <w:b/>
          <w:bCs/>
        </w:rPr>
        <w:t xml:space="preserve">[derived: 800-53 CA-2b, CA-2c]</w:t>
      </w:r>
      <w:r>
        <w:t xml:space="preserve"> </w:t>
      </w:r>
      <w:r>
        <w:t xml:space="preserve">The plan names what is under assessment, the procedures to be used</w:t>
      </w:r>
      <w:r>
        <w:t xml:space="preserve"> </w:t>
      </w:r>
      <w:r>
        <w:t xml:space="preserve">to determine whether a control is effective, and the environment, the team and the roles. The ordering</w:t>
      </w:r>
      <w:r>
        <w:t xml:space="preserve"> </w:t>
      </w:r>
      <w:r>
        <w:t xml:space="preserve">is part of the requirement rather than a nicety: approved prior to conducting, not written up</w:t>
      </w:r>
      <w:r>
        <w:t xml:space="preserve"> </w:t>
      </w:r>
      <w:r>
        <w:t xml:space="preserve">afterwards from what happened.</w:t>
      </w:r>
    </w:p>
    <w:p>
      <w:pPr>
        <w:pStyle w:val="BodyText"/>
      </w:pPr>
      <w:r>
        <w:t xml:space="preserve">Agree the rules of engagement with the other side, countersigned, before testing commences.</w:t>
      </w:r>
      <w:r>
        <w:t xml:space="preserve"> </w:t>
      </w:r>
      <w:r>
        <w:rPr>
          <w:b/>
          <w:bCs/>
        </w:rPr>
        <w:t xml:space="preserve">[derived: 800-115 Appendix B]</w:t>
      </w:r>
      <w:r>
        <w:t xml:space="preserve"> </w:t>
      </w:r>
      <w:r>
        <w:t xml:space="preserve">The template that survives:</w:t>
      </w:r>
    </w:p>
    <w:p>
      <w:pPr>
        <w:pStyle w:val="Compact"/>
        <w:numPr>
          <w:ilvl w:val="0"/>
          <w:numId w:val="1014"/>
        </w:numPr>
      </w:pPr>
      <w:r>
        <w:t xml:space="preserve">the objective, and what is explicitly out of scope</w:t>
      </w:r>
    </w:p>
    <w:p>
      <w:pPr>
        <w:pStyle w:val="Compact"/>
        <w:numPr>
          <w:ilvl w:val="0"/>
          <w:numId w:val="1014"/>
        </w:numPr>
      </w:pPr>
      <w:r>
        <w:t xml:space="preserve">the environment and the authorized test site</w:t>
      </w:r>
    </w:p>
    <w:p>
      <w:pPr>
        <w:pStyle w:val="Compact"/>
        <w:numPr>
          <w:ilvl w:val="0"/>
          <w:numId w:val="1014"/>
        </w:numPr>
      </w:pPr>
      <w:r>
        <w:t xml:space="preserve">the artifacts you hand over up front -- threat models, architecture, previous assessment results,</w:t>
      </w:r>
      <w:r>
        <w:t xml:space="preserve"> </w:t>
      </w:r>
      <w:r>
        <w:t xml:space="preserve">the deviations register</w:t>
      </w:r>
    </w:p>
    <w:p>
      <w:pPr>
        <w:pStyle w:val="Compact"/>
        <w:numPr>
          <w:ilvl w:val="0"/>
          <w:numId w:val="1014"/>
        </w:numPr>
      </w:pPr>
      <w:r>
        <w:t xml:space="preserve">named points of contact on both sides, including the incident-response contact</w:t>
      </w:r>
    </w:p>
    <w:p>
      <w:pPr>
        <w:pStyle w:val="Compact"/>
        <w:numPr>
          <w:ilvl w:val="0"/>
          <w:numId w:val="1014"/>
        </w:numPr>
      </w:pPr>
      <w:r>
        <w:t xml:space="preserve">permitted testing hours</w:t>
      </w:r>
    </w:p>
    <w:p>
      <w:pPr>
        <w:pStyle w:val="Compact"/>
        <w:numPr>
          <w:ilvl w:val="0"/>
          <w:numId w:val="1014"/>
        </w:numPr>
      </w:pPr>
      <w:r>
        <w:t xml:space="preserve">the risks and their agreed mitigations</w:t>
      </w:r>
    </w:p>
    <w:p>
      <w:pPr>
        <w:pStyle w:val="Compact"/>
        <w:numPr>
          <w:ilvl w:val="0"/>
          <w:numId w:val="1014"/>
        </w:numPr>
      </w:pPr>
      <w:r>
        <w:t xml:space="preserve">what data the tester may encounter, and how it must be handled and destroyed</w:t>
      </w:r>
    </w:p>
    <w:p>
      <w:pPr>
        <w:pStyle w:val="Compact"/>
        <w:numPr>
          <w:ilvl w:val="0"/>
          <w:numId w:val="1014"/>
        </w:numPr>
      </w:pPr>
      <w:r>
        <w:t xml:space="preserve">how findings are delivered and disclosed</w:t>
      </w:r>
    </w:p>
    <w:p>
      <w:pPr>
        <w:pStyle w:val="FirstParagraph"/>
      </w:pPr>
      <w:r>
        <w:t xml:space="preserve">The data-handling clause is the one teams skip and the hardest to repair afterwards. Testing can</w:t>
      </w:r>
      <w:r>
        <w:t xml:space="preserve"> </w:t>
      </w:r>
      <w:r>
        <w:t xml:space="preserve">expose to an outside party information held under a regime the adopting organization operates under,</w:t>
      </w:r>
      <w:r>
        <w:t xml:space="preserve"> </w:t>
      </w:r>
      <w:r>
        <w:t xml:space="preserve">and the rules of engagement are where the handling and destruction expectations get written down.</w:t>
      </w:r>
      <w:r>
        <w:t xml:space="preserve"> </w:t>
      </w:r>
      <w:hyperlink w:anchor="Xf8794b0126bc78285fb10778097a0695650e57d">
        <w:r>
          <w:rPr>
            <w:rStyle w:val="Hyperlink"/>
          </w:rPr>
          <w:t xml:space="preserve">Section 1</w:t>
        </w:r>
      </w:hyperlink>
      <w:r>
        <w:t xml:space="preserve">'s data-class table is what you hand</w:t>
      </w:r>
      <w:r>
        <w:t xml:space="preserve"> </w:t>
      </w:r>
      <w:r>
        <w:t xml:space="preserve">over to make that clause specific rather than generic.</w:t>
      </w:r>
    </w:p>
    <w:p>
      <w:pPr>
        <w:pStyle w:val="BodyText"/>
      </w:pPr>
      <w:r>
        <w:t xml:space="preserve">An unscoped engagement produces a report you cannot use. A finding whose scope was never agreed cannot</w:t>
      </w:r>
      <w:r>
        <w:t xml:space="preserve"> </w:t>
      </w:r>
      <w:r>
        <w:t xml:space="preserve">be traced to a boundary in</w:t>
      </w:r>
      <w:r>
        <w:t xml:space="preserve"> </w:t>
      </w:r>
      <w:hyperlink w:anchor="Xac02c7d32d5bb277c9e44f3436addfe1b1747df">
        <w:r>
          <w:rPr>
            <w:rStyle w:val="Hyperlink"/>
          </w:rPr>
          <w:t xml:space="preserve">section 2</w:t>
        </w:r>
      </w:hyperlink>
      <w:r>
        <w:t xml:space="preserve">, and</w:t>
      </w:r>
      <w:r>
        <w:t xml:space="preserve"> </w:t>
      </w:r>
      <w:r>
        <w:t xml:space="preserve">it cannot be closed under the retest rule in</w:t>
      </w:r>
      <w:r>
        <w:t xml:space="preserve"> </w:t>
      </w:r>
      <w:hyperlink w:anchor="Xc32b009c31e5f6409196a95ed4c1406da6dc82b">
        <w:r>
          <w:rPr>
            <w:rStyle w:val="Hyperlink"/>
          </w:rPr>
          <w:t xml:space="preserve">section 12</w:t>
        </w:r>
      </w:hyperlink>
      <w:r>
        <w:t xml:space="preserve">, because there is no agreed original run for a</w:t>
      </w:r>
      <w:r>
        <w:t xml:space="preserve"> </w:t>
      </w:r>
      <w:r>
        <w:t xml:space="preserve">confirming run to mirror. Independence is the other half: an engagement run by a party with no stake</w:t>
      </w:r>
      <w:r>
        <w:t xml:space="preserve"> </w:t>
      </w:r>
      <w:r>
        <w:t xml:space="preserve">in the result is what distinguishes this from the self-assessment</w:t>
      </w:r>
      <w:r>
        <w:t xml:space="preserve"> </w:t>
      </w:r>
      <w:hyperlink w:anchor="Xd93b41aba76cd6464a6e694c5ed1cd30484ae10">
        <w:r>
          <w:rPr>
            <w:rStyle w:val="Hyperlink"/>
          </w:rPr>
          <w:t xml:space="preserve">section 17</w:t>
        </w:r>
      </w:hyperlink>
      <w:r>
        <w:t xml:space="preserve"> </w:t>
      </w:r>
      <w:r>
        <w:t xml:space="preserve">forbids conflating with it.</w:t>
      </w:r>
    </w:p>
    <w:p>
      <w:pPr>
        <w:pStyle w:val="BodyText"/>
      </w:pPr>
      <w:r>
        <w:t xml:space="preserve">Write this even if the engagement is never funded. Scope is what an engagement is priced on, so</w:t>
      </w:r>
      <w:r>
        <w:t xml:space="preserve"> </w:t>
      </w:r>
      <w:r>
        <w:t xml:space="preserve">writing it before soliciting quotes is the difference between comparable bids and a surprise. And</w:t>
      </w:r>
      <w:r>
        <w:t xml:space="preserve"> </w:t>
      </w:r>
      <w:hyperlink w:anchor="X2e76d4b347a06a9540373165195f11ae36f497b">
        <w:r>
          <w:rPr>
            <w:rStyle w:val="Hyperlink"/>
          </w:rPr>
          <w:t xml:space="preserve">section 13</w:t>
        </w:r>
      </w:hyperlink>
      <w:r>
        <w:t xml:space="preserve"> </w:t>
      </w:r>
      <w:r>
        <w:t xml:space="preserve">requires holding the unfunded gap under a dated</w:t>
      </w:r>
      <w:r>
        <w:t xml:space="preserve"> </w:t>
      </w:r>
      <w:r>
        <w:t xml:space="preserve">signed acceptance, where an acceptance naming what would have been in scope is a far stronger record</w:t>
      </w:r>
      <w:r>
        <w:t xml:space="preserve"> </w:t>
      </w:r>
      <w:r>
        <w:t xml:space="preserve">than one saying testing was not performed. It adds no row to the release gate; it makes the row</w:t>
      </w:r>
      <w:r>
        <w:t xml:space="preserve"> </w:t>
      </w:r>
      <w:r>
        <w:t xml:space="preserve">already there answerable.</w:t>
      </w:r>
    </w:p>
    <w:p>
      <w:pPr>
        <w:pStyle w:val="BodyText"/>
      </w:pPr>
      <w:r>
        <w:t xml:space="preserve">Where the engagement has not happened, say so plainly and hold the gap under a dated signed</w:t>
      </w:r>
      <w:r>
        <w:t xml:space="preserve"> </w:t>
      </w:r>
      <w:r>
        <w:t xml:space="preserve">acceptance. Do not let a self-assessment read as verification, and do not omit the cost context.</w:t>
      </w:r>
    </w:p>
    <w:p>
      <w:pPr>
        <w:pStyle w:val="BodyText"/>
      </w:pPr>
      <w:r>
        <w:t xml:space="preserve">A bare "not yet performed" with no explanation reads as negligence. But "not yet performed, and here</w:t>
      </w:r>
      <w:r>
        <w:t xml:space="preserve"> </w:t>
      </w:r>
      <w:r>
        <w:t xml:space="preserve">is the order of magnitude it would cost" reads as a funding constraint a reader can evaluate.</w:t>
      </w:r>
    </w:p>
    <w:p>
      <w:pPr>
        <w:pStyle w:val="BodyText"/>
      </w:pPr>
      <w:r>
        <w:t xml:space="preserve">Do not gate somebody else's deployment on your engagement. For software an adopter self-hosts, the</w:t>
      </w:r>
      <w:r>
        <w:t xml:space="preserve"> </w:t>
      </w:r>
      <w:r>
        <w:t xml:space="preserve">decision to deploy and the assessment supporting it belong to the adopting organization. Record what</w:t>
      </w:r>
      <w:r>
        <w:t xml:space="preserve"> </w:t>
      </w:r>
      <w:r>
        <w:t xml:space="preserve">has and has not been independently verified; do not assert authority over a rollout you do not</w:t>
      </w:r>
      <w:r>
        <w:t xml:space="preserve"> </w:t>
      </w:r>
      <w:r>
        <w:t xml:space="preserve">control.</w:t>
      </w:r>
    </w:p>
    <w:p>
      <w:pPr>
        <w:pStyle w:val="BodyText"/>
      </w:pPr>
      <w:r>
        <w:t xml:space="preserve">This is a correction to an earlier version of this material, which stated the independent review as a</w:t>
      </w:r>
      <w:r>
        <w:t xml:space="preserve"> </w:t>
      </w:r>
      <w:r>
        <w:t xml:space="preserve">precondition for production exposure -- an over-reach for software the producer does not operate.</w:t>
      </w:r>
    </w:p>
    <w:p>
      <w:pPr>
        <w:pStyle w:val="BodyText"/>
      </w:pPr>
      <w:r>
        <w:t xml:space="preserve">If you are running a formal assessment against a published verification standard, the method for it is</w:t>
      </w:r>
      <w:r>
        <w:t xml:space="preserve"> </w:t>
      </w:r>
      <w:r>
        <w:t xml:space="preserve">covered in</w:t>
      </w:r>
      <w:r>
        <w:t xml:space="preserve"> </w:t>
      </w:r>
      <w:hyperlink r:id="rId57">
        <w:r>
          <w:rPr>
            <w:rStyle w:val="Hyperlink"/>
          </w:rPr>
          <w:t xml:space="preserve">running a large security-standard assessment with AI agents</w:t>
        </w:r>
      </w:hyperlink>
      <w:r>
        <w:t xml:space="preserve">. That</w:t>
      </w:r>
      <w:r>
        <w:t xml:space="preserve"> </w:t>
      </w:r>
      <w:r>
        <w:t xml:space="preserve">covers:</w:t>
      </w:r>
    </w:p>
    <w:p>
      <w:pPr>
        <w:pStyle w:val="Compact"/>
        <w:numPr>
          <w:ilvl w:val="0"/>
          <w:numId w:val="1015"/>
        </w:numPr>
      </w:pPr>
      <w:r>
        <w:t xml:space="preserve">verdict vocabulary</w:t>
      </w:r>
    </w:p>
    <w:p>
      <w:pPr>
        <w:pStyle w:val="Compact"/>
        <w:numPr>
          <w:ilvl w:val="0"/>
          <w:numId w:val="1015"/>
        </w:numPr>
      </w:pPr>
      <w:r>
        <w:t xml:space="preserve">why</w:t>
      </w:r>
      <w:r>
        <w:t xml:space="preserve"> </w:t>
      </w:r>
      <w:r>
        <w:rPr>
          <w:rStyle w:val="VerbatimChar"/>
        </w:rPr>
        <w:t xml:space="preserve">unverified</w:t>
      </w:r>
      <w:r>
        <w:t xml:space="preserve"> </w:t>
      </w:r>
      <w:r>
        <w:t xml:space="preserve">must never read as a pass</w:t>
      </w:r>
    </w:p>
    <w:p>
      <w:pPr>
        <w:pStyle w:val="Compact"/>
        <w:numPr>
          <w:ilvl w:val="0"/>
          <w:numId w:val="1015"/>
        </w:numPr>
      </w:pPr>
      <w:r>
        <w:t xml:space="preserve">evidence anchors a machine can re-check</w:t>
      </w:r>
    </w:p>
    <w:p>
      <w:pPr>
        <w:pStyle w:val="Compact"/>
        <w:numPr>
          <w:ilvl w:val="0"/>
          <w:numId w:val="1015"/>
        </w:numPr>
      </w:pPr>
      <w:r>
        <w:t xml:space="preserve">pinning the standard's corpus</w:t>
      </w:r>
    </w:p>
    <w:p>
      <w:pPr>
        <w:pStyle w:val="Compact"/>
        <w:numPr>
          <w:ilvl w:val="0"/>
          <w:numId w:val="1015"/>
        </w:numPr>
      </w:pPr>
      <w:r>
        <w:t xml:space="preserve">how to read a movement in a score</w:t>
      </w:r>
    </w:p>
    <w:p>
      <w:pPr>
        <w:pStyle w:val="FirstParagraph"/>
      </w:pPr>
      <w:r>
        <w:t xml:space="preserve">Do not build a second procedure beside it.</w:t>
      </w:r>
    </w:p>
    <w:p>
      <w:r>
        <w:pict>
          <v:rect style="width:0;height:1.5pt" o:hralign="center" o:hrstd="t" o:hr="t"/>
        </w:pict>
      </w:r>
    </w:p>
    <w:bookmarkEnd w:id="58"/>
    <w:bookmarkEnd w:id="59"/>
    <w:bookmarkStart w:id="61" w:name="X166d910d570b75bb8e35866cbb9a8eb190f1767"/>
    <w:p>
      <w:pPr>
        <w:pStyle w:val="Heading2"/>
      </w:pPr>
      <w:r>
        <w:t xml:space="preserve">16. The release gate</w:t>
      </w:r>
    </w:p>
    <w:p>
      <w:pPr>
        <w:pStyle w:val="FirstParagraph"/>
      </w:pPr>
      <w:r>
        <w:t xml:space="preserve">Codify the gate as an explicit pass or fail list rather than a judgment:</w:t>
      </w:r>
    </w:p>
    <w:p>
      <w:pPr>
        <w:pStyle w:val="Compact"/>
        <w:numPr>
          <w:ilvl w:val="0"/>
          <w:numId w:val="1016"/>
        </w:numPr>
      </w:pPr>
      <w:r>
        <w:t xml:space="preserve">Automated blocking checks passing on the exact commit being released.</w:t>
      </w:r>
    </w:p>
    <w:p>
      <w:pPr>
        <w:pStyle w:val="Compact"/>
        <w:numPr>
          <w:ilvl w:val="0"/>
          <w:numId w:val="1016"/>
        </w:numPr>
      </w:pPr>
      <w:r>
        <w:t xml:space="preserve">No unresolved high or critical findings.</w:t>
      </w:r>
    </w:p>
    <w:p>
      <w:pPr>
        <w:pStyle w:val="Compact"/>
        <w:numPr>
          <w:ilvl w:val="0"/>
          <w:numId w:val="1016"/>
        </w:numPr>
      </w:pPr>
      <w:r>
        <w:t xml:space="preserve">Current independent-review status, or a signed risk acceptance standing in for it.</w:t>
      </w:r>
    </w:p>
    <w:p>
      <w:pPr>
        <w:pStyle w:val="Compact"/>
        <w:numPr>
          <w:ilvl w:val="0"/>
          <w:numId w:val="1016"/>
        </w:numPr>
      </w:pPr>
      <w:r>
        <w:t xml:space="preserve">Updated evidence.</w:t>
      </w:r>
    </w:p>
    <w:p>
      <w:pPr>
        <w:pStyle w:val="Compact"/>
        <w:numPr>
          <w:ilvl w:val="0"/>
          <w:numId w:val="1016"/>
        </w:numPr>
      </w:pPr>
      <w:r>
        <w:t xml:space="preserve">A signed artifact with its component inventory and digest manifest attached to the tag.</w:t>
      </w:r>
    </w:p>
    <w:p>
      <w:pPr>
        <w:pStyle w:val="Compact"/>
        <w:numPr>
          <w:ilvl w:val="0"/>
          <w:numId w:val="1016"/>
        </w:numPr>
      </w:pPr>
      <w:hyperlink w:anchor="Xf8794b0126bc78285fb10778097a0695650e57d">
        <w:r>
          <w:rPr>
            <w:rStyle w:val="Hyperlink"/>
          </w:rPr>
          <w:t xml:space="preserve">Section 1</w:t>
        </w:r>
      </w:hyperlink>
      <w:r>
        <w:t xml:space="preserve">'s data-class table current as of</w:t>
      </w:r>
      <w:r>
        <w:t xml:space="preserve"> </w:t>
      </w:r>
      <w:r>
        <w:t xml:space="preserve">the last change that added a class, gave a class a new resting place, or added a boundary.</w:t>
      </w:r>
    </w:p>
    <w:p>
      <w:pPr>
        <w:pStyle w:val="FirstParagraph"/>
      </w:pPr>
      <w:r>
        <w:t xml:space="preserve">Two constraints on reading it.</w:t>
      </w:r>
      <w:r>
        <w:t xml:space="preserve"> </w:t>
      </w:r>
      <w:r>
        <w:rPr>
          <w:b/>
          <w:bCs/>
        </w:rPr>
        <w:t xml:space="preserve">The gate must not lean on an unsigned acceptance</w:t>
      </w:r>
      <w:r>
        <w:t xml:space="preserve">, or it is not a</w:t>
      </w:r>
      <w:r>
        <w:t xml:space="preserve"> </w:t>
      </w:r>
      <w:r>
        <w:t xml:space="preserve">gate. And</w:t>
      </w:r>
      <w:r>
        <w:t xml:space="preserve"> </w:t>
      </w:r>
      <w:r>
        <w:rPr>
          <w:b/>
          <w:bCs/>
        </w:rPr>
        <w:t xml:space="preserve">no single row is the gate on its own</w:t>
      </w:r>
      <w:r>
        <w:t xml:space="preserve"> </w:t>
      </w:r>
      <w:r>
        <w:t xml:space="preserve">-- the composite is.</w:t>
      </w:r>
    </w:p>
    <w:p>
      <w:pPr>
        <w:pStyle w:val="BodyText"/>
      </w:pPr>
      <w:r>
        <w:t xml:space="preserve">One caveat belongs next to it permanently: "no unresolved high or critical" is only as honest as the</w:t>
      </w:r>
      <w:r>
        <w:t xml:space="preserve"> </w:t>
      </w:r>
      <w:r>
        <w:t xml:space="preserve">scanner baselines behind it. It says nothing if the baseline was set on a weak ruleset, or if advisory</w:t>
      </w:r>
      <w:r>
        <w:t xml:space="preserve"> </w:t>
      </w:r>
      <w:r>
        <w:t xml:space="preserve">jobs were miscounted as gating coverage. Verify enforcement from the blocking-job list, not from a</w:t>
      </w:r>
      <w:r>
        <w:t xml:space="preserve"> </w:t>
      </w:r>
      <w:r>
        <w:t xml:space="preserve">green badge -- see</w:t>
      </w:r>
      <w:r>
        <w:t xml:space="preserve"> </w:t>
      </w:r>
      <w:r>
        <w:rPr>
          <w:i/>
          <w:iCs/>
        </w:rPr>
        <w:t xml:space="preserve">A check that cannot fail is not a control</w:t>
      </w:r>
      <w:r>
        <w:t xml:space="preserve"> </w:t>
      </w:r>
      <w:r>
        <w:t xml:space="preserve">in</w:t>
      </w:r>
      <w:r>
        <w:t xml:space="preserve"> </w:t>
      </w:r>
      <w:hyperlink r:id="rId21">
        <w:r>
          <w:rPr>
            <w:rStyle w:val="Hyperlink"/>
          </w:rPr>
          <w:t xml:space="preserve">CI and standards</w:t>
        </w:r>
      </w:hyperlink>
      <w:r>
        <w:t xml:space="preserve">.</w:t>
      </w:r>
    </w:p>
    <w:bookmarkStart w:id="60" w:name="X6bf3214004d99c2dac31ed30d2dbee672c0e4ba"/>
    <w:p>
      <w:pPr>
        <w:pStyle w:val="Heading3"/>
      </w:pPr>
      <w:r>
        <w:t xml:space="preserve">Confirm the control plane before reading any code</w:t>
      </w:r>
    </w:p>
    <w:p>
      <w:pPr>
        <w:pStyle w:val="FirstParagraph"/>
      </w:pPr>
      <w:r>
        <w:t xml:space="preserve">Confirming the control plane is a separate pass from reading code, and it comes first. For each</w:t>
      </w:r>
      <w:r>
        <w:t xml:space="preserve"> </w:t>
      </w:r>
      <w:r>
        <w:t xml:space="preserve">required check, confirm three things and read no source: that it exists, that it blocks rather than</w:t>
      </w:r>
      <w:r>
        <w:t xml:space="preserve"> </w:t>
      </w:r>
      <w:r>
        <w:t xml:space="preserve">advises, and that it was green on the exact commit being released. The release change's own pipeline</w:t>
      </w:r>
      <w:r>
        <w:t xml:space="preserve"> </w:t>
      </w:r>
      <w:r>
        <w:t xml:space="preserve">run is the control plane executing.</w:t>
      </w:r>
    </w:p>
    <w:p>
      <w:pPr>
        <w:pStyle w:val="BodyText"/>
      </w:pPr>
      <w:r>
        <w:t xml:space="preserve">Review the scanner suppression list explicitly rather than accepting it, because a suppressed rule</w:t>
      </w:r>
      <w:r>
        <w:t xml:space="preserve"> </w:t>
      </w:r>
      <w:r>
        <w:t xml:space="preserve">class is a control that has been turned off. A finding closed by adding a suppression is not a closed</w:t>
      </w:r>
      <w:r>
        <w:t xml:space="preserve"> </w:t>
      </w:r>
      <w:r>
        <w:t xml:space="preserve">finding, and it lands in this review rather than in the closed column --</w:t>
      </w:r>
      <w:r>
        <w:t xml:space="preserve"> </w:t>
      </w:r>
      <w:hyperlink w:anchor="Xc32b009c31e5f6409196a95ed4c1406da6dc82b">
        <w:r>
          <w:rPr>
            <w:rStyle w:val="Hyperlink"/>
          </w:rPr>
          <w:t xml:space="preserve">section 12</w:t>
        </w:r>
      </w:hyperlink>
      <w:r>
        <w:t xml:space="preserve"> </w:t>
      </w:r>
      <w:r>
        <w:t xml:space="preserve">carries that rule in full. Mark which</w:t>
      </w:r>
      <w:r>
        <w:t xml:space="preserve"> </w:t>
      </w:r>
      <w:r>
        <w:t xml:space="preserve">nominally-security jobs are advisory and do not count those as coverage. Only then spend line-by-line</w:t>
      </w:r>
      <w:r>
        <w:t xml:space="preserve"> </w:t>
      </w:r>
      <w:r>
        <w:t xml:space="preserve">reading on what the automated controls cannot cover.</w:t>
      </w:r>
    </w:p>
    <w:p>
      <w:r>
        <w:pict>
          <v:rect style="width:0;height:1.5pt" o:hralign="center" o:hrstd="t" o:hr="t"/>
        </w:pict>
      </w:r>
    </w:p>
    <w:bookmarkEnd w:id="60"/>
    <w:bookmarkEnd w:id="61"/>
    <w:bookmarkStart w:id="62" w:name="Xd93b41aba76cd6464a6e694c5ed1cd30484ae10"/>
    <w:p>
      <w:pPr>
        <w:pStyle w:val="Heading2"/>
      </w:pPr>
      <w:r>
        <w:t xml:space="preserve">17. What you may claim</w:t>
      </w:r>
    </w:p>
    <w:p>
      <w:pPr>
        <w:pStyle w:val="FirstParagraph"/>
      </w:pPr>
      <w:r>
        <w:t xml:space="preserve">The register you have is</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w:t>
      </w:r>
      <w:r>
        <w:t xml:space="preserve"> </w:t>
      </w:r>
      <w:r>
        <w:t xml:space="preserve">evidence, and each a claim about this document and your own process. You do not have</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r>
        <w:t xml:space="preserve">, and writing one of those is the fastest way to have the</w:t>
      </w:r>
      <w:r>
        <w:t xml:space="preserve"> </w:t>
      </w:r>
      <w:r>
        <w:t xml:space="preserve">whole page discounted.</w:t>
      </w:r>
    </w:p>
    <w:p>
      <w:pPr>
        <w:pStyle w:val="BodyText"/>
      </w:pPr>
      <w:r>
        <w:t xml:space="preserve">The register does not extend to a publication you cited. "Aligned with" is available only against</w:t>
      </w:r>
      <w:r>
        <w:t xml:space="preserve"> </w:t>
      </w:r>
      <w:r>
        <w:t xml:space="preserve">a named control identifier -- "this practice corresponds to SP 800-53 Rev. 5 control SA-11(8)" is a</w:t>
      </w:r>
      <w:r>
        <w:t xml:space="preserve"> </w:t>
      </w:r>
      <w:r>
        <w:t xml:space="preserve">claim a reviewer can check against one paragraph of one publication. Against a publication as a</w:t>
      </w:r>
      <w:r>
        <w:t xml:space="preserve"> </w:t>
      </w:r>
      <w:r>
        <w:t xml:space="preserve">whole it is unavailable, in either direction: not "aligned with SP 800-53", which claims a catalog of</w:t>
      </w:r>
      <w:r>
        <w:t xml:space="preserve"> </w:t>
      </w:r>
      <w:r>
        <w:t xml:space="preserve">a thousand controls nobody assessed, and not "built to SP 800-218", which is the same defect wearing</w:t>
      </w:r>
      <w:r>
        <w:t xml:space="preserve"> </w:t>
      </w:r>
      <w:r>
        <w:t xml:space="preserve">the register's own vocabulary and is close to the wording a federal secure-software attestation turns</w:t>
      </w:r>
      <w:r>
        <w:t xml:space="preserve"> </w:t>
      </w:r>
      <w:r>
        <w:t xml:space="preserve">on. Naming four publications on this page does not enlarge what may be claimed at the</w:t>
      </w:r>
      <w:r>
        <w:t xml:space="preserve"> </w:t>
      </w:r>
      <w:r>
        <w:t xml:space="preserve">bottom of it; the reasoning is in</w:t>
      </w:r>
      <w:r>
        <w:t xml:space="preserve"> </w:t>
      </w:r>
      <w:r>
        <w:rPr>
          <w:i/>
          <w:iCs/>
        </w:rPr>
        <w:t xml:space="preserve">Naming these sources is not a conformance claim</w:t>
      </w:r>
      <w:r>
        <w:t xml:space="preserve"> </w:t>
      </w:r>
      <w:r>
        <w:t xml:space="preserve">and is not</w:t>
      </w:r>
      <w:r>
        <w:t xml:space="preserve"> </w:t>
      </w:r>
      <w:r>
        <w:t xml:space="preserve">repeated here.</w:t>
      </w:r>
    </w:p>
    <w:p>
      <w:pPr>
        <w:pStyle w:val="BodyText"/>
      </w:pPr>
      <w:r>
        <w:t xml:space="preserve">The general rule, with the honesty-state tagging and the claims register that goes with it, is in</w:t>
      </w:r>
      <w:r>
        <w:t xml:space="preserve"> </w:t>
      </w:r>
      <w:hyperlink r:id="rId21">
        <w:r>
          <w:rPr>
            <w:rStyle w:val="Hyperlink"/>
          </w:rPr>
          <w:t xml:space="preserve">CI and standards</w:t>
        </w:r>
      </w:hyperlink>
      <w:r>
        <w:t xml:space="preserve">. Four things are specific to a security claim:</w:t>
      </w:r>
    </w:p>
    <w:p>
      <w:pPr>
        <w:pStyle w:val="Compact"/>
        <w:numPr>
          <w:ilvl w:val="0"/>
          <w:numId w:val="1017"/>
        </w:numPr>
      </w:pPr>
      <w:r>
        <w:t xml:space="preserve">State the attestation posture positively, with its scope named. "This project attests that it</w:t>
      </w:r>
      <w:r>
        <w:t xml:space="preserve"> </w:t>
      </w:r>
      <w:r>
        <w:t xml:space="preserve">builds under this standard" is a claim you can support. "The output is independently audited" is</w:t>
      </w:r>
      <w:r>
        <w:t xml:space="preserve"> </w:t>
      </w:r>
      <w:r>
        <w:t xml:space="preserve">not, unless it is.</w:t>
      </w:r>
    </w:p>
    <w:p>
      <w:pPr>
        <w:pStyle w:val="Compact"/>
        <w:numPr>
          <w:ilvl w:val="0"/>
          <w:numId w:val="1017"/>
        </w:numPr>
      </w:pPr>
      <w:r>
        <w:t xml:space="preserve">Say what the standard does not confer, structurally and near the top. It confers no compliance,</w:t>
      </w:r>
      <w:r>
        <w:t xml:space="preserve"> </w:t>
      </w:r>
      <w:r>
        <w:t xml:space="preserve">certification, or fitness on the product, on you, or on an adopter, and it does not substitute for</w:t>
      </w:r>
      <w:r>
        <w:t xml:space="preserve"> </w:t>
      </w:r>
      <w:r>
        <w:t xml:space="preserve">an adopter's own assessment. That is a statement about scope, not a disclaimer.</w:t>
      </w:r>
    </w:p>
    <w:p>
      <w:pPr>
        <w:pStyle w:val="Compact"/>
        <w:numPr>
          <w:ilvl w:val="0"/>
          <w:numId w:val="1017"/>
        </w:numPr>
      </w:pPr>
      <w:r>
        <w:t xml:space="preserve">Where you borrow discipline from a regime you are not subject to, say so. Adopted by analogy and</w:t>
      </w:r>
      <w:r>
        <w:t xml:space="preserve"> </w:t>
      </w:r>
      <w:r>
        <w:t xml:space="preserve">voluntarily; producing the artifacts confers nothing.</w:t>
      </w:r>
    </w:p>
    <w:p>
      <w:pPr>
        <w:pStyle w:val="Compact"/>
        <w:numPr>
          <w:ilvl w:val="0"/>
          <w:numId w:val="1017"/>
        </w:numPr>
      </w:pPr>
      <w:r>
        <w:t xml:space="preserve">Never restate another document's assurance-level target, count, or score. Two documents that</w:t>
      </w:r>
      <w:r>
        <w:t xml:space="preserve"> </w:t>
      </w:r>
      <w:r>
        <w:t xml:space="preserve">each restate the other's target will eventually disagree, and both will look authoritative. Name the</w:t>
      </w:r>
      <w:r>
        <w:t xml:space="preserve"> </w:t>
      </w:r>
      <w:r>
        <w:t xml:space="preserve">record of record and link to it, so there is exactly one place that can be wrong.</w:t>
      </w:r>
    </w:p>
    <w:p>
      <w:pPr>
        <w:pStyle w:val="FirstParagraph"/>
      </w:pPr>
      <w:r>
        <w:t xml:space="preserve">That last one is the state-it-once rule applied to the one class of fact where being wrong is most</w:t>
      </w:r>
      <w:r>
        <w:t xml:space="preserve"> </w:t>
      </w:r>
      <w:r>
        <w:t xml:space="preserve">expensive.</w:t>
      </w:r>
    </w:p>
    <w:p>
      <w:pPr>
        <w:pStyle w:val="BodyText"/>
      </w:pPr>
      <w:r>
        <w:t xml:space="preserve">Cite a proposed requirement as proposed. Where a standard or regulation is under revision, a draft</w:t>
      </w:r>
      <w:r>
        <w:t xml:space="preserve"> </w:t>
      </w:r>
      <w:r>
        <w:t xml:space="preserve">that has not been finalised is never a current requirement, and the frame is "if finalised" every time</w:t>
      </w:r>
      <w:r>
        <w:t xml:space="preserve"> </w:t>
      </w:r>
      <w:r>
        <w:t xml:space="preserve">it appears. Record the date you last checked its status -- that check is what goes stale, not the</w:t>
      </w:r>
      <w:r>
        <w:t xml:space="preserve"> </w:t>
      </w:r>
      <w:r>
        <w:t xml:space="preserve">citation.</w:t>
      </w:r>
    </w:p>
    <w:p>
      <w:r>
        <w:pict>
          <v:rect style="width:0;height:1.5pt" o:hralign="center" o:hrstd="t" o:hr="t"/>
        </w:pict>
      </w:r>
    </w:p>
    <w:bookmarkEnd w:id="62"/>
    <w:bookmarkStart w:id="63" w:name="in-one-table"/>
    <w:p>
      <w:pPr>
        <w:pStyle w:val="Heading2"/>
      </w:pPr>
      <w:r>
        <w:t xml:space="preserve">In one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Rule</w:t>
            </w:r>
          </w:p>
        </w:tc>
      </w:tr>
      <w:tr>
        <w:tc>
          <w:tcPr/>
          <w:p>
            <w:pPr>
              <w:pStyle w:val="Compact"/>
            </w:pPr>
            <w:r>
              <w:t xml:space="preserve">Starting</w:t>
            </w:r>
          </w:p>
        </w:tc>
        <w:tc>
          <w:tcPr/>
          <w:p>
            <w:pPr>
              <w:pStyle w:val="Compact"/>
            </w:pPr>
            <w:r>
              <w:t xml:space="preserve">Write the producer-versus-operator split before claiming any control</w:t>
            </w:r>
          </w:p>
        </w:tc>
      </w:tr>
      <w:tr>
        <w:tc>
          <w:tcPr/>
          <w:p>
            <w:pPr>
              <w:pStyle w:val="Compact"/>
            </w:pPr>
            <w:r>
              <w:t xml:space="preserve">Starting</w:t>
            </w:r>
          </w:p>
        </w:tc>
        <w:tc>
          <w:tcPr/>
          <w:p>
            <w:pPr>
              <w:pStyle w:val="Compact"/>
            </w:pPr>
            <w:r>
              <w:t xml:space="preserve">Define restricted data once, as a table of classes and every place each one rests</w:t>
            </w:r>
          </w:p>
        </w:tc>
      </w:tr>
      <w:tr>
        <w:tc>
          <w:tcPr/>
          <w:p>
            <w:pPr>
              <w:pStyle w:val="Compact"/>
            </w:pPr>
            <w:r>
              <w:t xml:space="preserve">Starting</w:t>
            </w:r>
          </w:p>
        </w:tc>
        <w:tc>
          <w:tcPr/>
          <w:p>
            <w:pPr>
              <w:pStyle w:val="Compact"/>
            </w:pPr>
            <w:r>
              <w:t xml:space="preserve">List the services neither column owns, and what fails if one goes away</w:t>
            </w:r>
          </w:p>
        </w:tc>
      </w:tr>
      <w:tr>
        <w:tc>
          <w:tcPr/>
          <w:p>
            <w:pPr>
              <w:pStyle w:val="Compact"/>
            </w:pPr>
            <w:r>
              <w:t xml:space="preserve">Designing</w:t>
            </w:r>
          </w:p>
        </w:tc>
        <w:tc>
          <w:tcPr/>
          <w:p>
            <w:pPr>
              <w:pStyle w:val="Compact"/>
            </w:pPr>
            <w:r>
              <w:t xml:space="preserve">Threat model each trust boundary before the build; name a mitigation for each way in</w:t>
            </w:r>
          </w:p>
        </w:tc>
      </w:tr>
      <w:tr>
        <w:tc>
          <w:tcPr/>
          <w:p>
            <w:pPr>
              <w:pStyle w:val="Compact"/>
            </w:pPr>
            <w:r>
              <w:t xml:space="preserve">Designing</w:t>
            </w:r>
          </w:p>
        </w:tc>
        <w:tc>
          <w:tcPr/>
          <w:p>
            <w:pPr>
              <w:pStyle w:val="Compact"/>
            </w:pPr>
            <w:r>
              <w:t xml:space="preserve">Draw the boundary list; a diagram with no boundaries marked on it is not a security artifact</w:t>
            </w:r>
          </w:p>
        </w:tc>
      </w:tr>
      <w:tr>
        <w:tc>
          <w:tcPr/>
          <w:p>
            <w:pPr>
              <w:pStyle w:val="Compact"/>
            </w:pPr>
            <w:r>
              <w:t xml:space="preserve">Designing</w:t>
            </w:r>
          </w:p>
        </w:tc>
        <w:tc>
          <w:tcPr/>
          <w:p>
            <w:pPr>
              <w:pStyle w:val="Compact"/>
            </w:pPr>
            <w:r>
              <w:t xml:space="preserve">Bound resource consumption per boundary; an unbounded boundary is a finding</w:t>
            </w:r>
          </w:p>
        </w:tc>
      </w:tr>
      <w:tr>
        <w:tc>
          <w:tcPr/>
          <w:p>
            <w:pPr>
              <w:pStyle w:val="Compact"/>
            </w:pPr>
            <w:r>
              <w:t xml:space="preserve">Designing</w:t>
            </w:r>
          </w:p>
        </w:tc>
        <w:tc>
          <w:tcPr/>
          <w:p>
            <w:pPr>
              <w:pStyle w:val="Compact"/>
            </w:pPr>
            <w:r>
              <w:t xml:space="preserve">At an execution boundary, check every caller reaches it, not the documented one</w:t>
            </w:r>
          </w:p>
        </w:tc>
      </w:tr>
      <w:tr>
        <w:tc>
          <w:tcPr/>
          <w:p>
            <w:pPr>
              <w:pStyle w:val="Compact"/>
            </w:pPr>
            <w:r>
              <w:t xml:space="preserve">Coding</w:t>
            </w:r>
          </w:p>
        </w:tc>
        <w:tc>
          <w:tcPr/>
          <w:p>
            <w:pPr>
              <w:pStyle w:val="Compact"/>
            </w:pPr>
            <w:r>
              <w:t xml:space="preserve">Validate at ingress, parameterise every query, confine every path, fail closed</w:t>
            </w:r>
          </w:p>
        </w:tc>
      </w:tr>
      <w:tr>
        <w:tc>
          <w:tcPr/>
          <w:p>
            <w:pPr>
              <w:pStyle w:val="Compact"/>
            </w:pPr>
            <w:r>
              <w:t xml:space="preserve">Reviewing</w:t>
            </w:r>
          </w:p>
        </w:tc>
        <w:tc>
          <w:tcPr/>
          <w:p>
            <w:pPr>
              <w:pStyle w:val="Compact"/>
            </w:pPr>
            <w:r>
              <w:t xml:space="preserve">Self-review is a documented deviation, not a satisfied control</w:t>
            </w:r>
          </w:p>
        </w:tc>
      </w:tr>
      <w:tr>
        <w:tc>
          <w:tcPr/>
          <w:p>
            <w:pPr>
              <w:pStyle w:val="Compact"/>
            </w:pPr>
            <w:r>
              <w:t xml:space="preserve">Reviewing</w:t>
            </w:r>
          </w:p>
        </w:tc>
        <w:tc>
          <w:tcPr/>
          <w:p>
            <w:pPr>
              <w:pStyle w:val="Compact"/>
            </w:pPr>
            <w:r>
              <w:t xml:space="preserve">Name the compensating set and the event that ends the deviation</w:t>
            </w:r>
          </w:p>
        </w:tc>
      </w:tr>
      <w:tr>
        <w:tc>
          <w:tcPr/>
          <w:p>
            <w:pPr>
              <w:pStyle w:val="Compact"/>
            </w:pPr>
            <w:r>
              <w:t xml:space="preserve">Gating</w:t>
            </w:r>
          </w:p>
        </w:tc>
        <w:tc>
          <w:tcPr/>
          <w:p>
            <w:pPr>
              <w:pStyle w:val="Compact"/>
            </w:pPr>
            <w:r>
              <w:t xml:space="preserve">Coverage is the blocking checks that run on the change, not the tool count</w:t>
            </w:r>
          </w:p>
        </w:tc>
      </w:tr>
      <w:tr>
        <w:tc>
          <w:tcPr/>
          <w:p>
            <w:pPr>
              <w:pStyle w:val="Compact"/>
            </w:pPr>
            <w:r>
              <w:t xml:space="preserve">Gating</w:t>
            </w:r>
          </w:p>
        </w:tc>
        <w:tc>
          <w:tcPr/>
          <w:p>
            <w:pPr>
              <w:pStyle w:val="Compact"/>
            </w:pPr>
            <w:r>
              <w:t xml:space="preserve">A clean run is a start condition for red-on-regression, never a certificate</w:t>
            </w:r>
          </w:p>
        </w:tc>
      </w:tr>
      <w:tr>
        <w:tc>
          <w:tcPr/>
          <w:p>
            <w:pPr>
              <w:pStyle w:val="Compact"/>
            </w:pPr>
            <w:r>
              <w:t xml:space="preserve">Gating</w:t>
            </w:r>
          </w:p>
        </w:tc>
        <w:tc>
          <w:tcPr/>
          <w:p>
            <w:pPr>
              <w:pStyle w:val="Compact"/>
            </w:pPr>
            <w:r>
              <w:t xml:space="preserve">Fire the failure class at the gate before crediting its green</w:t>
            </w:r>
          </w:p>
        </w:tc>
      </w:tr>
      <w:tr>
        <w:tc>
          <w:tcPr/>
          <w:p>
            <w:pPr>
              <w:pStyle w:val="Compact"/>
            </w:pPr>
            <w:r>
              <w:t xml:space="preserve">Gating</w:t>
            </w:r>
          </w:p>
        </w:tc>
        <w:tc>
          <w:tcPr/>
          <w:p>
            <w:pPr>
              <w:pStyle w:val="Compact"/>
            </w:pPr>
            <w:r>
              <w:t xml:space="preserve">Trigger a dynamic pass on an event; when no trigger fires, record that nothing ran</w:t>
            </w:r>
          </w:p>
        </w:tc>
      </w:tr>
      <w:tr>
        <w:tc>
          <w:tcPr/>
          <w:p>
            <w:pPr>
              <w:pStyle w:val="Compact"/>
            </w:pPr>
            <w:r>
              <w:t xml:space="preserve">Gating</w:t>
            </w:r>
          </w:p>
        </w:tc>
        <w:tc>
          <w:tcPr/>
          <w:p>
            <w:pPr>
              <w:pStyle w:val="Compact"/>
            </w:pPr>
            <w:r>
              <w:t xml:space="preserve">Encode a control as one shared check across sibling paths</w:t>
            </w:r>
          </w:p>
        </w:tc>
      </w:tr>
      <w:tr>
        <w:tc>
          <w:tcPr/>
          <w:p>
            <w:pPr>
              <w:pStyle w:val="Compact"/>
            </w:pPr>
            <w:r>
              <w:t xml:space="preserve">Gating</w:t>
            </w:r>
          </w:p>
        </w:tc>
        <w:tc>
          <w:tcPr/>
          <w:p>
            <w:pPr>
              <w:pStyle w:val="Compact"/>
            </w:pPr>
            <w:r>
              <w:t xml:space="preserve">Record rigor and scope separately per blocking check; one green hides both</w:t>
            </w:r>
          </w:p>
        </w:tc>
      </w:tr>
      <w:tr>
        <w:tc>
          <w:tcPr/>
          <w:p>
            <w:pPr>
              <w:pStyle w:val="Compact"/>
            </w:pPr>
            <w:r>
              <w:t xml:space="preserve">Configuring</w:t>
            </w:r>
          </w:p>
        </w:tc>
        <w:tc>
          <w:tcPr/>
          <w:p>
            <w:pPr>
              <w:pStyle w:val="Compact"/>
            </w:pPr>
            <w:r>
              <w:t xml:space="preserve">Secure by default; every insecure posture is a named, audited, fail-closed opt-in</w:t>
            </w:r>
          </w:p>
        </w:tc>
      </w:tr>
      <w:tr>
        <w:tc>
          <w:tcPr/>
          <w:p>
            <w:pPr>
              <w:pStyle w:val="Compact"/>
            </w:pPr>
            <w:r>
              <w:t xml:space="preserve">Configuring</w:t>
            </w:r>
          </w:p>
        </w:tc>
        <w:tc>
          <w:tcPr/>
          <w:p>
            <w:pPr>
              <w:pStyle w:val="Compact"/>
            </w:pPr>
            <w:r>
              <w:t xml:space="preserve">Off-by-default and fail-closed are different states -- describe them apart</w:t>
            </w:r>
          </w:p>
        </w:tc>
      </w:tr>
      <w:tr>
        <w:tc>
          <w:tcPr/>
          <w:p>
            <w:pPr>
              <w:pStyle w:val="Compact"/>
            </w:pPr>
            <w:r>
              <w:t xml:space="preserve">Configuring</w:t>
            </w:r>
          </w:p>
        </w:tc>
        <w:tc>
          <w:tcPr/>
          <w:p>
            <w:pPr>
              <w:pStyle w:val="Compact"/>
            </w:pPr>
            <w:r>
              <w:t xml:space="preserve">Synthetic data outside production; live data raises the environment, not lowers the class</w:t>
            </w:r>
          </w:p>
        </w:tc>
      </w:tr>
      <w:tr>
        <w:tc>
          <w:tcPr/>
          <w:p>
            <w:pPr>
              <w:pStyle w:val="Compact"/>
            </w:pPr>
            <w:r>
              <w:t xml:space="preserve">Configuring</w:t>
            </w:r>
          </w:p>
        </w:tc>
        <w:tc>
          <w:tcPr/>
          <w:p>
            <w:pPr>
              <w:pStyle w:val="Compact"/>
            </w:pPr>
            <w:r>
              <w:t xml:space="preserve">Rate a collection by the highest class in it, never the average or per entry</w:t>
            </w:r>
          </w:p>
        </w:tc>
      </w:tr>
      <w:tr>
        <w:tc>
          <w:tcPr/>
          <w:p>
            <w:pPr>
              <w:pStyle w:val="Compact"/>
            </w:pPr>
            <w:r>
              <w:t xml:space="preserve">Authenticating</w:t>
            </w:r>
          </w:p>
        </w:tc>
        <w:tc>
          <w:tcPr/>
          <w:p>
            <w:pPr>
              <w:pStyle w:val="Compact"/>
            </w:pPr>
            <w:r>
              <w:t xml:space="preserve">Strongest mechanism the peer supports, recorded per connection</w:t>
            </w:r>
          </w:p>
        </w:tc>
      </w:tr>
      <w:tr>
        <w:tc>
          <w:tcPr/>
          <w:p>
            <w:pPr>
              <w:pStyle w:val="Compact"/>
            </w:pPr>
            <w:r>
              <w:t xml:space="preserve">Authenticating</w:t>
            </w:r>
          </w:p>
        </w:tc>
        <w:tc>
          <w:tcPr/>
          <w:p>
            <w:pPr>
              <w:pStyle w:val="Compact"/>
            </w:pPr>
            <w:r>
              <w:t xml:space="preserve">No long-lived secret in a file; no cleartext directory bind</w:t>
            </w:r>
          </w:p>
        </w:tc>
      </w:tr>
      <w:tr>
        <w:tc>
          <w:tcPr/>
          <w:p>
            <w:pPr>
              <w:pStyle w:val="Compact"/>
            </w:pPr>
            <w:r>
              <w:t xml:space="preserve">Logging</w:t>
            </w:r>
          </w:p>
        </w:tc>
        <w:tc>
          <w:tcPr/>
          <w:p>
            <w:pPr>
              <w:pStyle w:val="Compact"/>
            </w:pPr>
            <w:r>
              <w:t xml:space="preserve">Append-only, hash-chained, actor-attributed; no secrets or restricted data at info level</w:t>
            </w:r>
          </w:p>
        </w:tc>
      </w:tr>
      <w:tr>
        <w:tc>
          <w:tcPr/>
          <w:p>
            <w:pPr>
              <w:pStyle w:val="Compact"/>
            </w:pPr>
            <w:r>
              <w:t xml:space="preserve">Logging</w:t>
            </w:r>
          </w:p>
        </w:tc>
        <w:tc>
          <w:tcPr/>
          <w:p>
            <w:pPr>
              <w:pStyle w:val="Compact"/>
            </w:pPr>
            <w:r>
              <w:t xml:space="preserve">State what happens when the log cannot be written; a broken chain reads as tampering</w:t>
            </w:r>
          </w:p>
        </w:tc>
      </w:tr>
      <w:tr>
        <w:tc>
          <w:tcPr/>
          <w:p>
            <w:pPr>
              <w:pStyle w:val="Compact"/>
            </w:pPr>
            <w:r>
              <w:t xml:space="preserve">Logging</w:t>
            </w:r>
          </w:p>
        </w:tc>
        <w:tc>
          <w:tcPr/>
          <w:p>
            <w:pPr>
              <w:pStyle w:val="Compact"/>
            </w:pPr>
            <w:r>
              <w:t xml:space="preserve">Ship the query, export and chain-verify affordance; the review cadence is the operator's</w:t>
            </w:r>
          </w:p>
        </w:tc>
      </w:tr>
      <w:tr>
        <w:tc>
          <w:tcPr/>
          <w:p>
            <w:pPr>
              <w:pStyle w:val="Compact"/>
            </w:pPr>
            <w:r>
              <w:t xml:space="preserve">Releasing</w:t>
            </w:r>
          </w:p>
        </w:tc>
        <w:tc>
          <w:tcPr/>
          <w:p>
            <w:pPr>
              <w:pStyle w:val="Compact"/>
            </w:pPr>
            <w:r>
              <w:t xml:space="preserve">The release build runs on an ephemeral runner, never on a developer workstation</w:t>
            </w:r>
          </w:p>
        </w:tc>
      </w:tr>
      <w:tr>
        <w:tc>
          <w:tcPr/>
          <w:p>
            <w:pPr>
              <w:pStyle w:val="Compact"/>
            </w:pPr>
            <w:r>
              <w:t xml:space="preserve">Releasing</w:t>
            </w:r>
          </w:p>
        </w:tc>
        <w:tc>
          <w:tcPr/>
          <w:p>
            <w:pPr>
              <w:pStyle w:val="Compact"/>
            </w:pPr>
            <w:r>
              <w:t xml:space="preserve">Pin every action, image and tool by digest, and review the pinned set on a cadence</w:t>
            </w:r>
          </w:p>
        </w:tc>
      </w:tr>
      <w:tr>
        <w:tc>
          <w:tcPr/>
          <w:p>
            <w:pPr>
              <w:pStyle w:val="Compact"/>
            </w:pPr>
            <w:r>
              <w:t xml:space="preserve">Releasing</w:t>
            </w:r>
          </w:p>
        </w:tc>
        <w:tc>
          <w:tcPr/>
          <w:p>
            <w:pPr>
              <w:pStyle w:val="Compact"/>
            </w:pPr>
            <w:r>
              <w:t xml:space="preserve">Enumerate every principal that can write, administer or publish; review and prune it</w:t>
            </w:r>
          </w:p>
        </w:tc>
      </w:tr>
      <w:tr>
        <w:tc>
          <w:tcPr/>
          <w:p>
            <w:pPr>
              <w:pStyle w:val="Compact"/>
            </w:pPr>
            <w:r>
              <w:t xml:space="preserve">Releasing</w:t>
            </w:r>
          </w:p>
        </w:tc>
        <w:tc>
          <w:tcPr/>
          <w:p>
            <w:pPr>
              <w:pStyle w:val="Compact"/>
            </w:pPr>
            <w:r>
              <w:t xml:space="preserve">Short-lived workflow-bound publishing credentials, paired with an attestation over the digest</w:t>
            </w:r>
          </w:p>
        </w:tc>
      </w:tr>
      <w:tr>
        <w:tc>
          <w:tcPr/>
          <w:p>
            <w:pPr>
              <w:pStyle w:val="Compact"/>
            </w:pPr>
            <w:r>
              <w:t xml:space="preserve">Releasing</w:t>
            </w:r>
          </w:p>
        </w:tc>
        <w:tc>
          <w:tcPr/>
          <w:p>
            <w:pPr>
              <w:pStyle w:val="Compact"/>
            </w:pPr>
            <w:r>
              <w:t xml:space="preserve">Publish a signed digest manifest and document the offline verification path</w:t>
            </w:r>
          </w:p>
        </w:tc>
      </w:tr>
      <w:tr>
        <w:tc>
          <w:tcPr/>
          <w:p>
            <w:pPr>
              <w:pStyle w:val="Compact"/>
            </w:pPr>
            <w:r>
              <w:t xml:space="preserve">Releasing</w:t>
            </w:r>
          </w:p>
        </w:tc>
        <w:tc>
          <w:tcPr/>
          <w:p>
            <w:pPr>
              <w:pStyle w:val="Compact"/>
            </w:pPr>
            <w:r>
              <w:t xml:space="preserve">A component inventory answers "do we ship X" -- it is not tamper detection</w:t>
            </w:r>
          </w:p>
        </w:tc>
      </w:tr>
      <w:tr>
        <w:tc>
          <w:tcPr/>
          <w:p>
            <w:pPr>
              <w:pStyle w:val="Compact"/>
            </w:pPr>
            <w:r>
              <w:t xml:space="preserve">Releasing</w:t>
            </w:r>
          </w:p>
        </w:tc>
        <w:tc>
          <w:tcPr/>
          <w:p>
            <w:pPr>
              <w:pStyle w:val="Compact"/>
            </w:pPr>
            <w:r>
              <w:t xml:space="preserve">Archive the artifact, its build inputs, and its inventory together</w:t>
            </w:r>
          </w:p>
        </w:tc>
      </w:tr>
      <w:tr>
        <w:tc>
          <w:tcPr/>
          <w:p>
            <w:pPr>
              <w:pStyle w:val="Compact"/>
            </w:pPr>
            <w:r>
              <w:t xml:space="preserve">Releasing</w:t>
            </w:r>
          </w:p>
        </w:tc>
        <w:tc>
          <w:tcPr/>
          <w:p>
            <w:pPr>
              <w:pStyle w:val="Compact"/>
            </w:pPr>
            <w:r>
              <w:t xml:space="preserve">Verify the published artifact after release; what you built is not what shipped</w:t>
            </w:r>
          </w:p>
        </w:tc>
      </w:tr>
      <w:tr>
        <w:tc>
          <w:tcPr/>
          <w:p>
            <w:pPr>
              <w:pStyle w:val="Compact"/>
            </w:pPr>
            <w:r>
              <w:t xml:space="preserve">Releasing</w:t>
            </w:r>
          </w:p>
        </w:tc>
        <w:tc>
          <w:tcPr/>
          <w:p>
            <w:pPr>
              <w:pStyle w:val="Compact"/>
            </w:pPr>
            <w:r>
              <w:t xml:space="preserve">Back up the evidence archive off-platform, and restore one release to prove it</w:t>
            </w:r>
          </w:p>
        </w:tc>
      </w:tr>
      <w:tr>
        <w:tc>
          <w:tcPr/>
          <w:p>
            <w:pPr>
              <w:pStyle w:val="Compact"/>
            </w:pPr>
            <w:r>
              <w:t xml:space="preserve">Hardening</w:t>
            </w:r>
          </w:p>
        </w:tc>
        <w:tc>
          <w:tcPr/>
          <w:p>
            <w:pPr>
              <w:pStyle w:val="Compact"/>
            </w:pPr>
            <w:r>
              <w:t xml:space="preserve">An in-process integrity check detects accidents, never a privileged attacker</w:t>
            </w:r>
          </w:p>
        </w:tc>
      </w:tr>
      <w:tr>
        <w:tc>
          <w:tcPr/>
          <w:p>
            <w:pPr>
              <w:pStyle w:val="Compact"/>
            </w:pPr>
            <w:r>
              <w:t xml:space="preserve">Hardening</w:t>
            </w:r>
          </w:p>
        </w:tc>
        <w:tc>
          <w:tcPr/>
          <w:p>
            <w:pPr>
              <w:pStyle w:val="Compact"/>
            </w:pPr>
            <w:r>
              <w:t xml:space="preserve">Operator-side controls are documented and recommended, never claimed</w:t>
            </w:r>
          </w:p>
        </w:tc>
      </w:tr>
      <w:tr>
        <w:tc>
          <w:tcPr/>
          <w:p>
            <w:pPr>
              <w:pStyle w:val="Compact"/>
            </w:pPr>
            <w:r>
              <w:t xml:space="preserve">Hardening</w:t>
            </w:r>
          </w:p>
        </w:tc>
        <w:tc>
          <w:tcPr/>
          <w:p>
            <w:pPr>
              <w:pStyle w:val="Compact"/>
            </w:pPr>
            <w:r>
              <w:t xml:space="preserve">Roll out a blocking verification control in audit mode first</w:t>
            </w:r>
          </w:p>
        </w:tc>
      </w:tr>
      <w:tr>
        <w:tc>
          <w:tcPr/>
          <w:p>
            <w:pPr>
              <w:pStyle w:val="Compact"/>
            </w:pPr>
            <w:r>
              <w:t xml:space="preserve">Responding</w:t>
            </w:r>
          </w:p>
        </w:tc>
        <w:tc>
          <w:tcPr/>
          <w:p>
            <w:pPr>
              <w:pStyle w:val="Compact"/>
            </w:pPr>
            <w:r>
              <w:t xml:space="preserve">Rehearse the response program end to end; state where each clock starts</w:t>
            </w:r>
          </w:p>
        </w:tc>
      </w:tr>
      <w:tr>
        <w:tc>
          <w:tcPr/>
          <w:p>
            <w:pPr>
              <w:pStyle w:val="Compact"/>
            </w:pPr>
            <w:r>
              <w:t xml:space="preserve">Responding</w:t>
            </w:r>
          </w:p>
        </w:tc>
        <w:tc>
          <w:tcPr/>
          <w:p>
            <w:pPr>
              <w:pStyle w:val="Compact"/>
            </w:pPr>
            <w:r>
              <w:t xml:space="preserve">Publish the intake, the bands and the clock start; an unmonitored address is not a channel</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r>
      <w:tr>
        <w:tc>
          <w:tcPr/>
          <w:p>
            <w:pPr>
              <w:pStyle w:val="Compact"/>
            </w:pPr>
            <w:r>
              <w:t xml:space="preserve">Responding</w:t>
            </w:r>
          </w:p>
        </w:tc>
        <w:tc>
          <w:tcPr/>
          <w:p>
            <w:pPr>
              <w:pStyle w:val="Compact"/>
            </w:pPr>
            <w:r>
              <w:t xml:space="preserve">A finding closes when its own check goes green on the fix commit, not when the fix merges</w:t>
            </w:r>
          </w:p>
        </w:tc>
      </w:tr>
      <w:tr>
        <w:tc>
          <w:tcPr/>
          <w:p>
            <w:pPr>
              <w:pStyle w:val="Compact"/>
            </w:pPr>
            <w:r>
              <w:t xml:space="preserve">Responding</w:t>
            </w:r>
          </w:p>
        </w:tc>
        <w:tc>
          <w:tcPr/>
          <w:p>
            <w:pPr>
              <w:pStyle w:val="Compact"/>
            </w:pPr>
            <w:r>
              <w:t xml:space="preserve">The confirming run is a mirror copy; a suppression is a suppression, never a closure</w:t>
            </w:r>
          </w:p>
        </w:tc>
      </w:tr>
      <w:tr>
        <w:tc>
          <w:tcPr/>
          <w:p>
            <w:pPr>
              <w:pStyle w:val="Compact"/>
            </w:pPr>
            <w:r>
              <w:t xml:space="preserve">Responding</w:t>
            </w:r>
          </w:p>
        </w:tc>
        <w:tc>
          <w:tcPr/>
          <w:p>
            <w:pPr>
              <w:pStyle w:val="Compact"/>
            </w:pPr>
            <w:r>
              <w:t xml:space="preserve">Measure time-to-remediate against the windows you set, then label them project-set</w:t>
            </w:r>
          </w:p>
        </w:tc>
      </w:tr>
      <w:tr>
        <w:tc>
          <w:tcPr/>
          <w:p>
            <w:pPr>
              <w:pStyle w:val="Compact"/>
            </w:pPr>
            <w:r>
              <w:t xml:space="preserve">Accepting risk</w:t>
            </w:r>
          </w:p>
        </w:tc>
        <w:tc>
          <w:tcPr/>
          <w:p>
            <w:pPr>
              <w:pStyle w:val="Compact"/>
            </w:pPr>
            <w:r>
              <w:t xml:space="preserve">Dated and signed, with a trigger that voids it. Unsigned is an open gap</w:t>
            </w:r>
          </w:p>
        </w:tc>
      </w:tr>
      <w:tr>
        <w:tc>
          <w:tcPr/>
          <w:p>
            <w:pPr>
              <w:pStyle w:val="Compact"/>
            </w:pPr>
            <w:r>
              <w:t xml:space="preserve">Accepting risk</w:t>
            </w:r>
          </w:p>
        </w:tc>
        <w:tc>
          <w:tcPr/>
          <w:p>
            <w:pPr>
              <w:pStyle w:val="Compact"/>
            </w:pPr>
            <w:r>
              <w:t xml:space="preserve">Publish the rule, not the inventory of what is currently absent</w:t>
            </w:r>
          </w:p>
        </w:tc>
      </w:tr>
      <w:tr>
        <w:tc>
          <w:tcPr/>
          <w:p>
            <w:pPr>
              <w:pStyle w:val="Compact"/>
            </w:pPr>
            <w:r>
              <w:t xml:space="preserve">Re-evaluating</w:t>
            </w:r>
          </w:p>
        </w:tc>
        <w:tc>
          <w:tcPr/>
          <w:p>
            <w:pPr>
              <w:pStyle w:val="Compact"/>
            </w:pPr>
            <w:r>
              <w:t xml:space="preserve">Four items on a stated cadence; hold it to four or nobody runs it</w:t>
            </w:r>
          </w:p>
        </w:tc>
      </w:tr>
      <w:tr>
        <w:tc>
          <w:tcPr/>
          <w:p>
            <w:pPr>
              <w:pStyle w:val="Compact"/>
            </w:pPr>
            <w:r>
              <w:t xml:space="preserve">Re-evaluating</w:t>
            </w:r>
          </w:p>
        </w:tc>
        <w:tc>
          <w:tcPr/>
          <w:p>
            <w:pPr>
              <w:pStyle w:val="Compact"/>
            </w:pPr>
            <w:r>
              <w:t xml:space="preserve">Event-trigger the data-class table instead of adding a fifth calendar item</w:t>
            </w:r>
          </w:p>
        </w:tc>
      </w:tr>
      <w:tr>
        <w:tc>
          <w:tcPr/>
          <w:p>
            <w:pPr>
              <w:pStyle w:val="Compact"/>
            </w:pPr>
            <w:r>
              <w:t xml:space="preserve">Verifying</w:t>
            </w:r>
          </w:p>
        </w:tc>
        <w:tc>
          <w:tcPr/>
          <w:p>
            <w:pPr>
              <w:pStyle w:val="Compact"/>
            </w:pPr>
            <w:r>
              <w:t xml:space="preserve">Scope an external engagement in writing, countersigned and approved before work starts</w:t>
            </w:r>
          </w:p>
        </w:tc>
      </w:tr>
      <w:tr>
        <w:tc>
          <w:tcPr/>
          <w:p>
            <w:pPr>
              <w:pStyle w:val="Compact"/>
            </w:pPr>
            <w:r>
              <w:t xml:space="preserve">Shipping</w:t>
            </w:r>
          </w:p>
        </w:tc>
        <w:tc>
          <w:tcPr/>
          <w:p>
            <w:pPr>
              <w:pStyle w:val="Compact"/>
            </w:pPr>
            <w:r>
              <w:t xml:space="preserve">The gate is a list with a defined failure mode, and no single row is the gate</w:t>
            </w:r>
          </w:p>
        </w:tc>
      </w:tr>
      <w:tr>
        <w:tc>
          <w:tcPr/>
          <w:p>
            <w:pPr>
              <w:pStyle w:val="Compact"/>
            </w:pPr>
            <w:r>
              <w:t xml:space="preserve">Shipping</w:t>
            </w:r>
          </w:p>
        </w:tc>
        <w:tc>
          <w:tcPr/>
          <w:p>
            <w:pPr>
              <w:pStyle w:val="Compact"/>
            </w:pPr>
            <w:r>
              <w:t xml:space="preserve">Confirm the control plane -- present, blocking, green on this commit -- before reading code</w:t>
            </w:r>
          </w:p>
        </w:tc>
      </w:tr>
      <w:tr>
        <w:tc>
          <w:tcPr/>
          <w:p>
            <w:pPr>
              <w:pStyle w:val="Compact"/>
            </w:pPr>
            <w:r>
              <w:t xml:space="preserve">Claiming</w:t>
            </w:r>
          </w:p>
        </w:tc>
        <w:tc>
          <w:tcPr/>
          <w:p>
            <w:pPr>
              <w:pStyle w:val="Compact"/>
            </w:pPr>
            <w:r>
              <w:t xml:space="preserve">Built to, aligned with a named control, self-assessed against -- of your own process, never of a cited publication</w:t>
            </w:r>
          </w:p>
        </w:tc>
      </w:tr>
      <w:tr>
        <w:tc>
          <w:tcPr/>
          <w:p>
            <w:pPr>
              <w:pStyle w:val="Compact"/>
            </w:pPr>
            <w:r>
              <w:t xml:space="preserve">Claiming</w:t>
            </w:r>
          </w:p>
        </w:tc>
        <w:tc>
          <w:tcPr/>
          <w:p>
            <w:pPr>
              <w:pStyle w:val="Compact"/>
            </w:pPr>
            <w:r>
              <w:t xml:space="preserve">Never certified, and never aligned with a publication as a whole</w:t>
            </w:r>
          </w:p>
        </w:tc>
      </w:tr>
      <w:tr>
        <w:tc>
          <w:tcPr/>
          <w:p>
            <w:pPr>
              <w:pStyle w:val="Compact"/>
            </w:pPr>
            <w:r>
              <w:t xml:space="preserve">Claiming</w:t>
            </w:r>
          </w:p>
        </w:tc>
        <w:tc>
          <w:tcPr/>
          <w:p>
            <w:pPr>
              <w:pStyle w:val="Compact"/>
            </w:pPr>
            <w:r>
              <w:t xml:space="preserve">Never restate another document's target or score; link to the record of record</w:t>
            </w:r>
          </w:p>
        </w:tc>
      </w:tr>
    </w:tbl>
    <w:p>
      <w:r>
        <w:pict>
          <v:rect style="width:0;height:1.5pt" o:hralign="center" o:hrstd="t" o:hr="t"/>
        </w:pict>
      </w:r>
    </w:p>
    <w:bookmarkEnd w:id="63"/>
    <w:bookmarkStart w:id="64" w:name="adapting-this-to-your-project"/>
    <w:p>
      <w:pPr>
        <w:pStyle w:val="Heading2"/>
      </w:pPr>
      <w:r>
        <w:t xml:space="preserve">Adapting this to your project</w:t>
      </w:r>
    </w:p>
    <w:p>
      <w:pPr>
        <w:pStyle w:val="FirstParagraph"/>
      </w:pPr>
      <w:r>
        <w:t xml:space="preserve">Change freely:</w:t>
      </w:r>
    </w:p>
    <w:p>
      <w:pPr>
        <w:pStyle w:val="Compact"/>
        <w:numPr>
          <w:ilvl w:val="0"/>
          <w:numId w:val="1018"/>
        </w:numPr>
      </w:pPr>
      <w:r>
        <w:t xml:space="preserve">The section set. Drop what you do not have. A project with no network interfaces does not need</w:t>
      </w:r>
      <w:r>
        <w:t xml:space="preserve"> </w:t>
      </w:r>
      <w:hyperlink w:anchor="X08c545cdaea16d13c66d050a73fae11a3e2b4eb">
        <w:r>
          <w:rPr>
            <w:rStyle w:val="Hyperlink"/>
          </w:rPr>
          <w:t xml:space="preserve">section 8</w:t>
        </w:r>
      </w:hyperlink>
      <w:r>
        <w:t xml:space="preserve">, and saying so beats leaving an empty heading</w:t>
      </w:r>
      <w:r>
        <w:t xml:space="preserve"> </w:t>
      </w:r>
      <w:r>
        <w:t xml:space="preserve">that reads as an unowned control.</w:t>
      </w:r>
    </w:p>
    <w:p>
      <w:pPr>
        <w:pStyle w:val="Compact"/>
        <w:numPr>
          <w:ilvl w:val="0"/>
          <w:numId w:val="1018"/>
        </w:numPr>
      </w:pPr>
      <w:r>
        <w:t xml:space="preserve">The authentication hierarchy. It is ordered by what a peer system can support, and yours will</w:t>
      </w:r>
      <w:r>
        <w:t xml:space="preserve"> </w:t>
      </w:r>
      <w:r>
        <w:t xml:space="preserve">differ. Keep the property -- strongest available, recorded per connection, weak ones as an explicit</w:t>
      </w:r>
      <w:r>
        <w:t xml:space="preserve"> </w:t>
      </w:r>
      <w:r>
        <w:t xml:space="preserve">short list -- and replace the mechanisms.</w:t>
      </w:r>
    </w:p>
    <w:p>
      <w:pPr>
        <w:pStyle w:val="Compact"/>
        <w:numPr>
          <w:ilvl w:val="0"/>
          <w:numId w:val="1018"/>
        </w:numPr>
      </w:pPr>
      <w:r>
        <w:t xml:space="preserve">The remediation windows. There is no validated number. Set yours from your own capacity, record</w:t>
      </w:r>
      <w:r>
        <w:t xml:space="preserve"> </w:t>
      </w:r>
      <w:r>
        <w:t xml:space="preserve">them where a reporter can read them, and label them project-set.</w:t>
      </w:r>
    </w:p>
    <w:p>
      <w:pPr>
        <w:pStyle w:val="Compact"/>
        <w:numPr>
          <w:ilvl w:val="0"/>
          <w:numId w:val="1018"/>
        </w:numPr>
      </w:pPr>
      <w:r>
        <w:t xml:space="preserve">Everything platform-specific. Managed service identities, transparency logs, admission control</w:t>
      </w:r>
      <w:r>
        <w:t xml:space="preserve"> </w:t>
      </w:r>
      <w:r>
        <w:t xml:space="preserve">and integrity monitoring all have different names and different guarantees per platform. Name the</w:t>
      </w:r>
      <w:r>
        <w:t xml:space="preserve"> </w:t>
      </w:r>
      <w:r>
        <w:t xml:space="preserve">one you use rather than implying the pattern is universal.</w:t>
      </w:r>
    </w:p>
    <w:p>
      <w:pPr>
        <w:pStyle w:val="Compact"/>
        <w:numPr>
          <w:ilvl w:val="0"/>
          <w:numId w:val="1018"/>
        </w:numPr>
      </w:pPr>
      <w:r>
        <w:t xml:space="preserve">The adoption order. Sections 1, 5 and 13 are the cheapest and the highest-leverage; after those,</w:t>
      </w:r>
      <w:r>
        <w:t xml:space="preserve"> </w:t>
      </w:r>
      <w:r>
        <w:t xml:space="preserve">take whatever your riskiest surface demands.</w:t>
      </w:r>
    </w:p>
    <w:p>
      <w:pPr>
        <w:pStyle w:val="FirstParagraph"/>
      </w:pPr>
      <w:r>
        <w:t xml:space="preserve">Do not weaken:</w:t>
      </w:r>
    </w:p>
    <w:p>
      <w:pPr>
        <w:pStyle w:val="Compact"/>
        <w:numPr>
          <w:ilvl w:val="0"/>
          <w:numId w:val="1019"/>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19"/>
        </w:numPr>
      </w:pPr>
      <w:r>
        <w:rPr>
          <w:b/>
          <w:bCs/>
        </w:rPr>
        <w:t xml:space="preserve">The single definition of restricted data.</w:t>
      </w:r>
      <w:r>
        <w:t xml:space="preserve"> </w:t>
      </w:r>
      <w:r>
        <w:t xml:space="preserve">One table in</w:t>
      </w:r>
      <w:r>
        <w:t xml:space="preserve"> </w:t>
      </w:r>
      <w:hyperlink w:anchor="Xf8794b0126bc78285fb10778097a0695650e57d">
        <w:r>
          <w:rPr>
            <w:rStyle w:val="Hyperlink"/>
          </w:rPr>
          <w:t xml:space="preserve">section 1</w:t>
        </w:r>
      </w:hyperlink>
      <w:r>
        <w:t xml:space="preserve">, and every other rule points at</w:t>
      </w:r>
      <w:r>
        <w:t xml:space="preserve"> </w:t>
      </w:r>
      <w:r>
        <w:t xml:space="preserve">it rather than carrying its own adjective. Two terms for one idea is how a rule ends up enforced in</w:t>
      </w:r>
      <w:r>
        <w:t xml:space="preserve"> </w:t>
      </w:r>
      <w:r>
        <w:t xml:space="preserve">one section and quietly absent from its sibling, and the fix is to delete the second term rather</w:t>
      </w:r>
      <w:r>
        <w:t xml:space="preserve"> </w:t>
      </w:r>
      <w:r>
        <w:t xml:space="preserve">than to define it as well.</w:t>
      </w:r>
    </w:p>
    <w:p>
      <w:pPr>
        <w:pStyle w:val="Compact"/>
        <w:numPr>
          <w:ilvl w:val="0"/>
          <w:numId w:val="1019"/>
        </w:numPr>
      </w:pPr>
      <w:r>
        <w:rPr>
          <w:b/>
          <w:bCs/>
        </w:rPr>
        <w:t xml:space="preserve">The unwaivable set.</w:t>
      </w:r>
      <w:r>
        <w:t xml:space="preserve"> </w:t>
      </w:r>
      <w:r>
        <w:t xml:space="preserve">Static analysis, dependency analysis and secret scanning block, and an</w:t>
      </w:r>
      <w:r>
        <w:t xml:space="preserve"> </w:t>
      </w:r>
      <w:r>
        <w:t xml:space="preserve">author cannot waive their own change past them. The moment one becomes waivable it stops being a</w:t>
      </w:r>
      <w:r>
        <w:t xml:space="preserve"> </w:t>
      </w:r>
      <w:r>
        <w:t xml:space="preserve">control and becomes a preference.</w:t>
      </w:r>
    </w:p>
    <w:p>
      <w:pPr>
        <w:pStyle w:val="Compact"/>
        <w:numPr>
          <w:ilvl w:val="0"/>
          <w:numId w:val="1019"/>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fields or none of it counts.</w:t>
      </w:r>
    </w:p>
    <w:p>
      <w:pPr>
        <w:pStyle w:val="Compact"/>
        <w:numPr>
          <w:ilvl w:val="0"/>
          <w:numId w:val="1019"/>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19"/>
        </w:numPr>
      </w:pPr>
      <w:r>
        <w:rPr>
          <w:b/>
          <w:bCs/>
        </w:rPr>
        <w:t xml:space="preserve">The honest limit next to each control.</w:t>
      </w:r>
      <w:r>
        <w:t xml:space="preserve"> </w:t>
      </w:r>
      <w:r>
        <w:t xml:space="preserve">Each of these is a compensating control resting on a</w:t>
      </w:r>
      <w:r>
        <w:t xml:space="preserve"> </w:t>
      </w:r>
      <w:r>
        <w:t xml:space="preserve">false premise: an in-process integrity check that is described without the bootstrap-trust limit, a</w:t>
      </w:r>
      <w:r>
        <w:t xml:space="preserve"> </w:t>
      </w:r>
      <w:r>
        <w:t xml:space="preserve">component inventory described as tamper detection, or a self-assessment described as verification.</w:t>
      </w:r>
      <w:r>
        <w:t xml:space="preserve"> </w:t>
      </w:r>
      <w:r>
        <w:t xml:space="preserve">The next person to touch it reasons from your description rather than from the code.</w:t>
      </w:r>
    </w:p>
    <w:p>
      <w:r>
        <w:pict>
          <v:rect style="width:0;height:1.5pt" o:hralign="center" o:hrstd="t" o:hr="t"/>
        </w:pict>
      </w:r>
    </w:p>
    <w:bookmarkEnd w:id="64"/>
    <w:bookmarkStart w:id="67" w:name="where-the-rules-come-from"/>
    <w:p>
      <w:pPr>
        <w:pStyle w:val="Heading2"/>
      </w:pPr>
      <w:r>
        <w:t xml:space="preserve">Where the rules come from</w:t>
      </w:r>
    </w:p>
    <w:p>
      <w:pPr>
        <w:pStyle w:val="FirstParagraph"/>
      </w:pPr>
      <w:r>
        <w:t xml:space="preserve">Most of what this page states is this document's own reasoning about what a small producing team can</w:t>
      </w:r>
      <w:r>
        <w:t xml:space="preserve"> </w:t>
      </w:r>
      <w:r>
        <w:t xml:space="preserve">actually execute. Where a rule was borrowed, it was borrowed from, at least, these. Each</w:t>
      </w:r>
      <w:r>
        <w:t xml:space="preserve"> </w:t>
      </w:r>
      <w:r>
        <w:t xml:space="preserve">publication's status, its date, and the date that status was last checked are in</w:t>
      </w:r>
      <w:r>
        <w:t xml:space="preserve"> </w:t>
      </w:r>
      <w:hyperlink w:anchor="sources">
        <w:r>
          <w:rPr>
            <w:rStyle w:val="Hyperlink"/>
          </w:rPr>
          <w:t xml:space="preserve">Sources</w:t>
        </w:r>
      </w:hyperlink>
      <w:r>
        <w:t xml:space="preserve"> </w:t>
      </w:r>
      <w:r>
        <w:t xml:space="preserve">at the bottom, in one table and nowhere else, so a status re-check is a</w:t>
      </w:r>
      <w:r>
        <w:t xml:space="preserve"> </w:t>
      </w:r>
      <w:r>
        <w:t xml:space="preserve">single-table edit rather than a sweep.</w:t>
      </w:r>
    </w:p>
    <w:p>
      <w:pPr>
        <w:pStyle w:val="Compact"/>
        <w:numPr>
          <w:ilvl w:val="0"/>
          <w:numId w:val="1020"/>
        </w:numPr>
      </w:pPr>
      <w:r>
        <w:t xml:space="preserve">NIST SP 800-218 v1.1, Secure Software Development Framework (SSDF). The only one of these</w:t>
      </w:r>
      <w:r>
        <w:t xml:space="preserve"> </w:t>
      </w:r>
      <w:r>
        <w:t xml:space="preserve">written for a software producer rather than a system operator, so it is the outcome layer: it</w:t>
      </w:r>
      <w:r>
        <w:t xml:space="preserve"> </w:t>
      </w:r>
      <w:r>
        <w:t xml:space="preserve">states things like dynamic testing of the built artifact and a secure build environment as outcomes</w:t>
      </w:r>
      <w:r>
        <w:t xml:space="preserve"> </w:t>
      </w:r>
      <w:r>
        <w:t xml:space="preserve">the producer owns. No rule on this page carries an SSDF mark, and that is deliberate rather than an</w:t>
      </w:r>
      <w:r>
        <w:t xml:space="preserve"> </w:t>
      </w:r>
      <w:r>
        <w:t xml:space="preserve">oversight. Where a rule restates one of those outcomes, the specific text it restates was read in</w:t>
      </w:r>
      <w:r>
        <w:t xml:space="preserve"> </w:t>
      </w:r>
      <w:r>
        <w:t xml:space="preserve">an 800-53 control, and a mark points at the publication whose text was actually opened. The sources</w:t>
      </w:r>
      <w:r>
        <w:t xml:space="preserve"> </w:t>
      </w:r>
      <w:r>
        <w:t xml:space="preserve">table records which practices sit behind which rules.</w:t>
      </w:r>
    </w:p>
    <w:p>
      <w:pPr>
        <w:pStyle w:val="Compact"/>
        <w:numPr>
          <w:ilvl w:val="0"/>
          <w:numId w:val="1020"/>
        </w:numPr>
      </w:pPr>
      <w:r>
        <w:t xml:space="preserve">NIST SP 800-53 Rev. 5, Security and Privacy Controls for Information Systems and</w:t>
      </w:r>
      <w:r>
        <w:t xml:space="preserve"> </w:t>
      </w:r>
      <w:r>
        <w:t xml:space="preserve">Organizations, as maintained by Release 5.2.0 (2025-08-27). It supplies the specific, quotable</w:t>
      </w:r>
      <w:r>
        <w:t xml:space="preserve"> </w:t>
      </w:r>
      <w:r>
        <w:t xml:space="preserve">control text where the SSDF states only an outcome, cited by control identifier. Always name the</w:t>
      </w:r>
      <w:r>
        <w:t xml:space="preserve"> </w:t>
      </w:r>
      <w:r>
        <w:t xml:space="preserve">release -- see the version trap below.</w:t>
      </w:r>
    </w:p>
    <w:p>
      <w:pPr>
        <w:pStyle w:val="Compact"/>
        <w:numPr>
          <w:ilvl w:val="0"/>
          <w:numId w:val="1020"/>
        </w:numPr>
      </w:pPr>
      <w:r>
        <w:t xml:space="preserve">NIST SP 800-115, Technical Guide to Information Security Testing and Assessment. Cited here for</w:t>
      </w:r>
      <w:r>
        <w:t xml:space="preserve"> </w:t>
      </w:r>
      <w:r>
        <w:t xml:space="preserve">its process material only -- the rules-of-engagement template for an external engagement, and the</w:t>
      </w:r>
      <w:r>
        <w:t xml:space="preserve"> </w:t>
      </w:r>
      <w:r>
        <w:t xml:space="preserve">caveat that a retest verifies a fix only if the confirming run is a mirror copy of the original. It</w:t>
      </w:r>
      <w:r>
        <w:t xml:space="preserve"> </w:t>
      </w:r>
      <w:r>
        <w:t xml:space="preserve">is eighteen years old; its technique and tooling inventory is not current and nothing here borrows</w:t>
      </w:r>
      <w:r>
        <w:t xml:space="preserve"> </w:t>
      </w:r>
      <w:r>
        <w:t xml:space="preserve">from it.</w:t>
      </w:r>
    </w:p>
    <w:p>
      <w:pPr>
        <w:pStyle w:val="Compact"/>
        <w:numPr>
          <w:ilvl w:val="0"/>
          <w:numId w:val="1020"/>
        </w:numPr>
      </w:pPr>
      <w:r>
        <w:t xml:space="preserve">FIPS 199, Standards for Security Categorization. One page of vocabulary: three security</w:t>
      </w:r>
      <w:r>
        <w:t xml:space="preserve"> </w:t>
      </w:r>
      <w:r>
        <w:t xml:space="preserve">objectives against three impact levels, plus the high-water-mark roll-up for a collection.</w:t>
      </w:r>
    </w:p>
    <w:p>
      <w:pPr>
        <w:pStyle w:val="FirstParagraph"/>
      </w:pPr>
      <w:r>
        <w:t xml:space="preserve">Name the release, not just the revision, and record the date you checked. "SP 800-53 Rev. 5"</w:t>
      </w:r>
      <w:r>
        <w:t xml:space="preserve"> </w:t>
      </w:r>
      <w:r>
        <w:t xml:space="preserve">today names two artifacts that disagree. The PDF served under that title carries content dated</w:t>
      </w:r>
      <w:r>
        <w:t xml:space="preserve"> </w:t>
      </w:r>
      <w:r>
        <w:t xml:space="preserve">September 2020 with updates as of 2020-12-10. Release 5.2.0, issued 2025-08-27, adds SA-24,</w:t>
      </w:r>
      <w:r>
        <w:t xml:space="preserve"> </w:t>
      </w:r>
      <w:r>
        <w:t xml:space="preserve">SI-02(07) and SA-15(13) and revises SI-07(12) -- none of which can appear in a document whose</w:t>
      </w:r>
      <w:r>
        <w:t xml:space="preserve"> </w:t>
      </w:r>
      <w:r>
        <w:t xml:space="preserve">content predates them -- while the file name and the title are unchanged. So a citation reading</w:t>
      </w:r>
      <w:r>
        <w:t xml:space="preserve"> </w:t>
      </w:r>
      <w:r>
        <w:t xml:space="preserve">"SA-24, SP 800-53 Rev. 5" is simultaneously correct and unresolvable by a reader who downloads the</w:t>
      </w:r>
      <w:r>
        <w:t xml:space="preserve"> </w:t>
      </w:r>
      <w:r>
        <w:t xml:space="preserve">publication. Every 800-53 citation here is to Release 5.2.0 as checked on the date recorded in the</w:t>
      </w:r>
      <w:r>
        <w:t xml:space="preserve"> </w:t>
      </w:r>
      <w:r>
        <w:t xml:space="preserve">sources table, and names a control present in the served PDF. The sibling rule for any revised</w:t>
      </w:r>
      <w:r>
        <w:t xml:space="preserve"> </w:t>
      </w:r>
      <w:r>
        <w:t xml:space="preserve">publication: carry the revision number as well, because a bare identifier can resolve to a superseded</w:t>
      </w:r>
      <w:r>
        <w:t xml:space="preserve"> </w:t>
      </w:r>
      <w:r>
        <w:t xml:space="preserve">or withdrawn document that still says something plausible.</w:t>
      </w:r>
    </w:p>
    <w:p>
      <w:pPr>
        <w:pStyle w:val="BodyText"/>
      </w:pPr>
      <w:r>
        <w:rPr>
          <w:b/>
          <w:bCs/>
        </w:rPr>
        <w:t xml:space="preserve">Naming these sources is not a conformance claim, and cannot become one.</w:t>
      </w:r>
      <w:r>
        <w:t xml:space="preserve"> </w:t>
      </w:r>
      <w:r>
        <w:t xml:space="preserve">They are sources this</w:t>
      </w:r>
      <w:r>
        <w:t xml:space="preserve"> </w:t>
      </w:r>
      <w:r>
        <w:t xml:space="preserve">document draws on. It claims conformance with none of them, and none of them certify anything --</w:t>
      </w:r>
      <w:r>
        <w:t xml:space="preserve"> </w:t>
      </w:r>
      <w:r>
        <w:t xml:space="preserve">no publication in that list issues a certificate, and a self-assessment is not one either. Quoting</w:t>
      </w:r>
      <w:r>
        <w:t xml:space="preserve"> </w:t>
      </w:r>
      <w:r>
        <w:t xml:space="preserve">a control's text is not a claim of conformance to the catalog it came from. The wording that</w:t>
      </w:r>
      <w:r>
        <w:t xml:space="preserve"> </w:t>
      </w:r>
      <w:r>
        <w:t xml:space="preserve">survives a reviewer is "this practice corresponds to SP 800-53 Rev. 5 control SA-11(8)" -- a named</w:t>
      </w:r>
      <w:r>
        <w:t xml:space="preserve"> </w:t>
      </w:r>
      <w:r>
        <w:t xml:space="preserve">control, checkable against one paragraph of one publication. Which wordings fail, including the ones</w:t>
      </w:r>
      <w:r>
        <w:t xml:space="preserve"> </w:t>
      </w:r>
      <w:r>
        <w:t xml:space="preserve">that name a publication rather than a control, is</w:t>
      </w:r>
      <w:r>
        <w:t xml:space="preserve"> </w:t>
      </w:r>
      <w:hyperlink w:anchor="Xd93b41aba76cd6464a6e694c5ed1cd30484ae10">
        <w:r>
          <w:rPr>
            <w:rStyle w:val="Hyperlink"/>
          </w:rPr>
          <w:t xml:space="preserve">section 17</w:t>
        </w:r>
      </w:hyperlink>
      <w:r>
        <w:t xml:space="preserve">'s register;</w:t>
      </w:r>
      <w:r>
        <w:t xml:space="preserve"> </w:t>
      </w:r>
      <w:r>
        <w:t xml:space="preserve">it is stated there once and is not repeated here. For 800-53 in</w:t>
      </w:r>
      <w:r>
        <w:t xml:space="preserve"> </w:t>
      </w:r>
      <w:r>
        <w:t xml:space="preserve">particular the catalog's own notion of conformance is a selected control baseline plus an</w:t>
      </w:r>
      <w:r>
        <w:t xml:space="preserve"> </w:t>
      </w:r>
      <w:r>
        <w:t xml:space="preserve">authorization decision, and a software producer makes neither. So the baselines, the tailoring</w:t>
      </w:r>
      <w:r>
        <w:t xml:space="preserve"> </w:t>
      </w:r>
      <w:r>
        <w:t xml:space="preserve">apparatus and the risk management framework built around the catalog are all out of scope here.</w:t>
      </w:r>
      <w:r>
        <w:t xml:space="preserve"> </w:t>
      </w:r>
      <w:r>
        <w:t xml:space="preserve">Only named control text is borrowed.</w:t>
      </w:r>
    </w:p>
    <w:p>
      <w:pPr>
        <w:pStyle w:val="BodyText"/>
      </w:pPr>
      <w:r>
        <w:t xml:space="preserve">How borrowings are marked. The default is inverted from a compliance matrix: an unmarked rule is</w:t>
      </w:r>
      <w:r>
        <w:t xml:space="preserve"> </w:t>
      </w:r>
      <w:r>
        <w:t xml:space="preserve">this document's own, and only a borrowing carries a mark.</w:t>
      </w:r>
      <w:r>
        <w:t xml:space="preserve"> </w:t>
      </w:r>
      <w:r>
        <w:rPr>
          <w:rStyle w:val="VerbatimChar"/>
        </w:rPr>
        <w:t xml:space="preserve">**[external]**</w:t>
      </w:r>
      <w:r>
        <w:t xml:space="preserve"> </w:t>
      </w:r>
      <w:r>
        <w:t xml:space="preserve">is empirical evidence --</w:t>
      </w:r>
      <w:r>
        <w:t xml:space="preserve"> </w:t>
      </w:r>
      <w:r>
        <w:t xml:space="preserve">a study, a measurement, a vendor's own concession.</w:t>
      </w:r>
      <w:r>
        <w:t xml:space="preserve"> </w:t>
      </w:r>
      <w:r>
        <w:rPr>
          <w:rStyle w:val="VerbatimChar"/>
        </w:rPr>
        <w:t xml:space="preserve">**[derived: &lt;code&gt;]**</w:t>
      </w:r>
      <w:r>
        <w:t xml:space="preserve"> </w:t>
      </w:r>
      <w:r>
        <w:t xml:space="preserve">means the rule is a</w:t>
      </w:r>
      <w:r>
        <w:t xml:space="preserve"> </w:t>
      </w:r>
      <w:r>
        <w:t xml:space="preserve">published requirement, restated for this audience.</w:t>
      </w:r>
      <w:r>
        <w:t xml:space="preserve"> </w:t>
      </w:r>
      <w:r>
        <w:rPr>
          <w:rStyle w:val="VerbatimChar"/>
        </w:rPr>
        <w:t xml:space="preserve">**[prompted by: &lt;code&gt;]**</w:t>
      </w:r>
      <w:r>
        <w:t xml:space="preserve"> </w:t>
      </w:r>
      <w:r>
        <w:t xml:space="preserve">means the source</w:t>
      </w:r>
      <w:r>
        <w:t xml:space="preserve"> </w:t>
      </w:r>
      <w:r>
        <w:t xml:space="preserve">raised the topic and the rule as written is ours, being stronger, narrower or different. The test</w:t>
      </w:r>
      <w:r>
        <w:t xml:space="preserve"> </w:t>
      </w:r>
      <w:r>
        <w:t xml:space="preserve">that decides between the last two: if the source changed, would this rule change? Yes is</w:t>
      </w:r>
      <w:r>
        <w:t xml:space="preserve"> </w:t>
      </w:r>
      <w:r>
        <w:t xml:space="preserve">derived, no is prompted-by, and no source at all is unmarked. A mark attaches to the rule -- the</w:t>
      </w:r>
      <w:r>
        <w:t xml:space="preserve"> </w:t>
      </w:r>
      <w:r>
        <w:t xml:space="preserve">lead sentence, or the bullet -- never to the prose arguing for it, so the explanation, the</w:t>
      </w:r>
      <w:r>
        <w:t xml:space="preserve"> </w:t>
      </w:r>
      <w:r>
        <w:t xml:space="preserve">honest limit and the cost sitting inside a derived rule stay unmarked, because those are ours.</w:t>
      </w:r>
    </w:p>
    <w:bookmarkStart w:id="65" w:name="X5b2ad23c17e6a7879b324e7c1327c9b143e390c"/>
    <w:p>
      <w:pPr>
        <w:pStyle w:val="Heading3"/>
      </w:pPr>
      <w:r>
        <w:t xml:space="preserve">Full conformance is not on offer, so tailoring is not a compromise</w:t>
      </w:r>
    </w:p>
    <w:p>
      <w:pPr>
        <w:pStyle w:val="FirstParagraph"/>
      </w:pPr>
      <w:r>
        <w:t xml:space="preserve">The SSDF has no conformance criteria, no levels and no assessment procedure. Nothing issues a</w:t>
      </w:r>
      <w:r>
        <w:t xml:space="preserve"> </w:t>
      </w:r>
      <w:r>
        <w:t xml:space="preserve">pass. So the familiar advice -- aim for a tailored, risk-based subset rather than one hundred</w:t>
      </w:r>
      <w:r>
        <w:t xml:space="preserve"> </w:t>
      </w:r>
      <w:r>
        <w:t xml:space="preserve">percent conformance -- understates the position. Full conformance is not a thing that exists to be</w:t>
      </w:r>
      <w:r>
        <w:t xml:space="preserve"> </w:t>
      </w:r>
      <w:r>
        <w:t xml:space="preserve">aimed at. The framework states outcomes a producer should achieve and leaves the how open, and its</w:t>
      </w:r>
      <w:r>
        <w:t xml:space="preserve"> </w:t>
      </w:r>
      <w:r>
        <w:t xml:space="preserve">implementation examples are illustrative rather than required.</w:t>
      </w:r>
    </w:p>
    <w:p>
      <w:pPr>
        <w:pStyle w:val="BodyText"/>
      </w:pPr>
      <w:r>
        <w:t xml:space="preserve">What that does not license is dropping a practice. Tailoring here happens at the implementation</w:t>
      </w:r>
      <w:r>
        <w:t xml:space="preserve"> </w:t>
      </w:r>
      <w:r>
        <w:t xml:space="preserve">layer -- which mechanism satisfies an outcome -- far more than at the practice layer. A practice</w:t>
      </w:r>
      <w:r>
        <w:t xml:space="preserve"> </w:t>
      </w:r>
      <w:r>
        <w:t xml:space="preserve">rarely stops applying because of a technology choice. A memory-safe language changes which</w:t>
      </w:r>
      <w:r>
        <w:t xml:space="preserve"> </w:t>
      </w:r>
      <w:r>
        <w:t xml:space="preserve">vulnerability classes you face, and therefore how you satisfy the code-analysis and testing</w:t>
      </w:r>
      <w:r>
        <w:t xml:space="preserve"> </w:t>
      </w:r>
      <w:r>
        <w:t xml:space="preserve">practices; it does not remove them. Treating a language feature as grounds to skip a practice is the</w:t>
      </w:r>
      <w:r>
        <w:t xml:space="preserve"> </w:t>
      </w:r>
      <w:r>
        <w:t xml:space="preserve">specific error this subsection exists to prevent.</w:t>
      </w:r>
    </w:p>
    <w:p>
      <w:pPr>
        <w:pStyle w:val="BodyText"/>
      </w:pPr>
      <w:r>
        <w:t xml:space="preserve">The artifact of tailoring is a written record of what you left out and why. This document already</w:t>
      </w:r>
      <w:r>
        <w:t xml:space="preserve"> </w:t>
      </w:r>
      <w:r>
        <w:t xml:space="preserve">produces one: the</w:t>
      </w:r>
      <w:r>
        <w:t xml:space="preserve"> </w:t>
      </w:r>
      <w:r>
        <w:rPr>
          <w:rStyle w:val="VerbatimChar"/>
        </w:rPr>
        <w:t xml:space="preserve">NOT ADDRESSED</w:t>
      </w:r>
      <w:r>
        <w:t xml:space="preserve"> </w:t>
      </w:r>
      <w:r>
        <w:t xml:space="preserve">rows of</w:t>
      </w:r>
      <w:r>
        <w:t xml:space="preserve"> </w:t>
      </w:r>
      <w:hyperlink w:anchor="Xd58ae4afd9eb69dfedf0e7d438c304043b8423d">
        <w:r>
          <w:rPr>
            <w:rStyle w:val="Hyperlink"/>
          </w:rPr>
          <w:t xml:space="preserve">the coverage table</w:t>
        </w:r>
      </w:hyperlink>
      <w:r>
        <w:t xml:space="preserve">, each carrying a</w:t>
      </w:r>
      <w:r>
        <w:t xml:space="preserve"> </w:t>
      </w:r>
      <w:r>
        <w:t xml:space="preserve">reason rather than an apology. An exclusion nobody wrote down is indistinguishable later from an</w:t>
      </w:r>
      <w:r>
        <w:t xml:space="preserve"> </w:t>
      </w:r>
      <w:r>
        <w:t xml:space="preserve">oversight, and the reason is what a reader needs in order to disagree with you.</w:t>
      </w:r>
    </w:p>
    <w:bookmarkEnd w:id="65"/>
    <w:bookmarkStart w:id="66" w:name="X801905d3ca07527c679b1d09a0936ad61121075"/>
    <w:p>
      <w:pPr>
        <w:pStyle w:val="Heading3"/>
      </w:pPr>
      <w:r>
        <w:t xml:space="preserve">The one setting where such a claim is a legal instrument, and its expiry date</w:t>
      </w:r>
    </w:p>
    <w:p>
      <w:pPr>
        <w:pStyle w:val="FirstParagraph"/>
      </w:pPr>
      <w:r>
        <w:t xml:space="preserve">There used to be a clean answer to when conformance actually binds a producer: selling software to</w:t>
      </w:r>
      <w:r>
        <w:t xml:space="preserve"> </w:t>
      </w:r>
      <w:r>
        <w:t xml:space="preserve">the US federal government. Executive Order 14028 led to OMB Memoranda M-22-18 (2022) and M-23-16</w:t>
      </w:r>
      <w:r>
        <w:t xml:space="preserve"> </w:t>
      </w:r>
      <w:r>
        <w:t xml:space="preserve">(2023), which required agencies to obtain a secure-software-development self-attestation from</w:t>
      </w:r>
      <w:r>
        <w:t xml:space="preserve"> </w:t>
      </w:r>
      <w:r>
        <w:t xml:space="preserve">producers, on a common form published by CISA in March 2024.</w:t>
      </w:r>
    </w:p>
    <w:p>
      <w:pPr>
        <w:pStyle w:val="BodyText"/>
      </w:pPr>
      <w:r>
        <w:t xml:space="preserve">That government-wide requirement was rescinded on 2026-01-23 by OMB Memorandum M-26-05, which</w:t>
      </w:r>
      <w:r>
        <w:t xml:space="preserve"> </w:t>
      </w:r>
      <w:r>
        <w:t xml:space="preserve">states that M-22-18 and M-23-16 "are hereby rescinded". Agencies "may choose to use" the attestation</w:t>
      </w:r>
      <w:r>
        <w:t xml:space="preserve"> </w:t>
      </w:r>
      <w:r>
        <w:t xml:space="preserve">form; none is required to collect it. The SSDF survives in that memo as a resource agencies "can</w:t>
      </w:r>
      <w:r>
        <w:t xml:space="preserve"> </w:t>
      </w:r>
      <w:r>
        <w:t xml:space="preserve">reference", not as a mandate, and agencies must still maintain a complete software and hardware</w:t>
      </w:r>
      <w:r>
        <w:t xml:space="preserve"> </w:t>
      </w:r>
      <w:r>
        <w:t xml:space="preserve">inventory and set assurance requirements matching their own risk determinations.</w:t>
      </w:r>
    </w:p>
    <w:p>
      <w:pPr>
        <w:pStyle w:val="BodyText"/>
      </w:pPr>
      <w:r>
        <w:t xml:space="preserve">Two things follow, and they pull in opposite directions.</w:t>
      </w:r>
    </w:p>
    <w:p>
      <w:pPr>
        <w:pStyle w:val="Compact"/>
        <w:numPr>
          <w:ilvl w:val="0"/>
          <w:numId w:val="1021"/>
        </w:numPr>
      </w:pPr>
      <w:r>
        <w:t xml:space="preserve">Advice written before 2026 saying you must sign the common form to sell federally is now wrong,</w:t>
      </w:r>
      <w:r>
        <w:t xml:space="preserve"> </w:t>
      </w:r>
      <w:r>
        <w:t xml:space="preserve">and that advice is still widely in circulation.</w:t>
      </w:r>
    </w:p>
    <w:p>
      <w:pPr>
        <w:pStyle w:val="Compact"/>
        <w:numPr>
          <w:ilvl w:val="0"/>
          <w:numId w:val="1021"/>
        </w:numPr>
      </w:pPr>
      <w:r>
        <w:rPr>
          <w:b/>
          <w:bCs/>
        </w:rPr>
        <w:t xml:space="preserve">This is not a relaxation.</w:t>
      </w:r>
      <w:r>
        <w:t xml:space="preserve"> </w:t>
      </w:r>
      <w:r>
        <w:t xml:space="preserve">The memorandum moves the obligation onto each agency head and says</w:t>
      </w:r>
      <w:r>
        <w:t xml:space="preserve"> </w:t>
      </w:r>
      <w:r>
        <w:t xml:space="preserve">there is no one-size-fits-all method. An individual agency may still require an attestation by its</w:t>
      </w:r>
      <w:r>
        <w:t xml:space="preserve"> </w:t>
      </w:r>
      <w:r>
        <w:t xml:space="preserve">own policy or contract. Read as a loosening, it is being read backwards.</w:t>
      </w:r>
    </w:p>
    <w:p>
      <w:pPr>
        <w:pStyle w:val="FirstParagraph"/>
      </w:pPr>
      <w:r>
        <w:t xml:space="preserve">The stated reason is worth reading if you are deciding how much rigor to adopt. OMB wrote that the</w:t>
      </w:r>
      <w:r>
        <w:t xml:space="preserve"> </w:t>
      </w:r>
      <w:r>
        <w:t xml:space="preserve">prior approach "imposed unproven and burdensome software accounting processes that prioritized</w:t>
      </w:r>
      <w:r>
        <w:t xml:space="preserve"> </w:t>
      </w:r>
      <w:r>
        <w:t xml:space="preserve">compliance over genuine security investments" and "diverted agencies from developing tailored</w:t>
      </w:r>
      <w:r>
        <w:t xml:space="preserve"> </w:t>
      </w:r>
      <w:r>
        <w:t xml:space="preserve">assurance requirements". That is the argument of the subsection above, made by the party that had</w:t>
      </w:r>
      <w:r>
        <w:t xml:space="preserve"> </w:t>
      </w:r>
      <w:r>
        <w:t xml:space="preserve">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 did</w:t>
      </w:r>
      <w:r>
        <w:t xml:space="preserve"> </w:t>
      </w:r>
      <w:r>
        <w:t xml:space="preserve">nothing to the consequences of making a false one.</w:t>
      </w:r>
    </w:p>
    <w:p>
      <w:pPr>
        <w:pStyle w:val="BodyText"/>
      </w:pPr>
      <w:r>
        <w:rPr>
          <w:i/>
          <w:iCs/>
        </w:rPr>
        <w:t xml:space="preserve">Memorandum text read directly and verified 2026-08-06; see the sources table for how this status is</w:t>
      </w:r>
      <w:r>
        <w:rPr>
          <w:i/>
          <w:iCs/>
        </w:rPr>
        <w:t xml:space="preserve"> </w:t>
      </w:r>
      <w:r>
        <w:rPr>
          <w:i/>
          <w:iCs/>
        </w:rPr>
        <w:t xml:space="preserve">carried. A compliance fact without a date is a claim with a hidden expiry, and this one replaced a</w:t>
      </w:r>
      <w:r>
        <w:rPr>
          <w:i/>
          <w:iCs/>
        </w:rPr>
        <w:t xml:space="preserve"> </w:t>
      </w:r>
      <w:r>
        <w:rPr>
          <w:i/>
          <w:iCs/>
        </w:rPr>
        <w:t xml:space="preserve">four-year-old regime.</w:t>
      </w:r>
    </w:p>
    <w:p>
      <w:r>
        <w:pict>
          <v:rect style="width:0;height:1.5pt" o:hralign="center" o:hrstd="t" o:hr="t"/>
        </w:pict>
      </w:r>
    </w:p>
    <w:bookmarkEnd w:id="66"/>
    <w:bookmarkEnd w:id="67"/>
    <w:bookmarkStart w:id="68" w:name="Xd58ae4afd9eb69dfedf0e7d438c304043b8423d"/>
    <w:p>
      <w:pPr>
        <w:pStyle w:val="Heading2"/>
      </w:pPr>
      <w:r>
        <w:t xml:space="preserve">What this document does not take from a control catalog</w:t>
      </w:r>
    </w:p>
    <w:p>
      <w:pPr>
        <w:pStyle w:val="FirstParagraph"/>
      </w:pPr>
      <w:r>
        <w:t xml:space="preserve">A reader who arrives holding the SSDF or SP 800-53, rather than at the top, has two ways in. For what</w:t>
      </w:r>
      <w:r>
        <w:t xml:space="preserve"> </w:t>
      </w:r>
      <w:r>
        <w:t xml:space="preserve">was borrowed, the marks in the body are the index: each names the control it came from, so a search</w:t>
      </w:r>
      <w:r>
        <w:t xml:space="preserve"> </w:t>
      </w:r>
      <w:r>
        <w:t xml:space="preserve">for a control identifier lands on the rule that restates it, inside the section that argues for it.</w:t>
      </w:r>
      <w:r>
        <w:t xml:space="preserve"> </w:t>
      </w:r>
      <w:r>
        <w:t xml:space="preserve">The sources table below records which publication contributes what. This table is the other half, and</w:t>
      </w:r>
      <w:r>
        <w:t xml:space="preserve"> </w:t>
      </w:r>
      <w:r>
        <w:t xml:space="preserve">the half nobody writes down: the areas a control catalog covers that this document deliberately takes</w:t>
      </w:r>
      <w:r>
        <w:t xml:space="preserve"> </w:t>
      </w:r>
      <w:r>
        <w:t xml:space="preserve">nothing from, and why. An absence then reads as a decision rather than an oversight, and a reader</w:t>
      </w:r>
      <w:r>
        <w:t xml:space="preserve"> </w:t>
      </w:r>
      <w:r>
        <w:t xml:space="preserve">holding a catalog can stop looking.</w:t>
      </w:r>
    </w:p>
    <w:p>
      <w:pPr>
        <w:pStyle w:val="BodyText"/>
      </w:pPr>
      <w:r>
        <w:t xml:space="preserve">It is not a coverage map, and there is nothing here to score. A row means this document has declined</w:t>
      </w:r>
      <w:r>
        <w:t xml:space="preserve"> </w:t>
      </w:r>
      <w:r>
        <w:t xml:space="preserve">to say something about that area. Nothing here claims the document satisfies a control, that a</w:t>
      </w:r>
      <w:r>
        <w:t xml:space="preserve"> </w:t>
      </w:r>
      <w:r>
        <w:t xml:space="preserve">product built under it satisfies one, or that either could be assessed against the catalog an</w:t>
      </w:r>
      <w:r>
        <w:t xml:space="preserve"> </w:t>
      </w:r>
      <w:r>
        <w:t xml:space="preserve">identifier came from.</w:t>
      </w:r>
      <w:r>
        <w:t xml:space="preserve"> </w:t>
      </w:r>
      <w:hyperlink w:anchor="Xd93b41aba76cd6464a6e694c5ed1cd30484ae10">
        <w:r>
          <w:rPr>
            <w:rStyle w:val="Hyperlink"/>
          </w:rPr>
          <w:t xml:space="preserve">Section 17</w:t>
        </w:r>
      </w:hyperlink>
      <w:r>
        <w:t xml:space="preserve"> </w:t>
      </w:r>
      <w:r>
        <w:t xml:space="preserve">carries the claim register, and</w:t>
      </w:r>
      <w:r>
        <w:t xml:space="preserve"> </w:t>
      </w:r>
      <w:r>
        <w:rPr>
          <w:i/>
          <w:iCs/>
        </w:rPr>
        <w:t xml:space="preserve">Naming</w:t>
      </w:r>
      <w:r>
        <w:rPr>
          <w:i/>
          <w:iCs/>
        </w:rPr>
        <w:t xml:space="preserve"> </w:t>
      </w:r>
      <w:r>
        <w:rPr>
          <w:i/>
          <w:iCs/>
        </w:rPr>
        <w:t xml:space="preserve">these sources is not a conformance claim</w:t>
      </w:r>
      <w:r>
        <w:t xml:space="preserve"> </w:t>
      </w:r>
      <w:r>
        <w:t xml:space="preserve">in</w:t>
      </w:r>
      <w:r>
        <w:t xml:space="preserve"> </w:t>
      </w:r>
      <w:hyperlink w:anchor="where-the-rules-come-from">
        <w:r>
          <w:rPr>
            <w:rStyle w:val="Hyperlink"/>
          </w:rPr>
          <w:t xml:space="preserve">Where the rules come from</w:t>
        </w:r>
      </w:hyperlink>
      <w:r>
        <w:t xml:space="preserve"> </w:t>
      </w:r>
      <w:r>
        <w:t xml:space="preserve">carries the reasoning; neither is repeated</w:t>
      </w:r>
      <w:r>
        <w:t xml:space="preserve"> </w:t>
      </w:r>
      <w:r>
        <w:t xml:space="preserve">here.</w:t>
      </w:r>
    </w:p>
    <w:p>
      <w:pPr>
        <w:pStyle w:val="BodyText"/>
      </w:pPr>
      <w:r>
        <w:t xml:space="preserve">There is deliberately no table mapping this document's rules onto a catalog's controls. A reader</w:t>
      </w:r>
      <w:r>
        <w:t xml:space="preserve"> </w:t>
      </w:r>
      <w:r>
        <w:t xml:space="preserve">would read one as a scorecard whatever it said about itself, control identifiers being unusually</w:t>
      </w:r>
      <w:r>
        <w:t xml:space="preserve"> </w:t>
      </w:r>
      <w:r>
        <w:t xml:space="preserve">quotable, and a count of them already sits in</w:t>
      </w:r>
      <w:r>
        <w:t xml:space="preserve"> </w:t>
      </w:r>
      <w:hyperlink w:anchor="Xa04daca1c49463ed52ff2475309af2fe8799704">
        <w:r>
          <w:rPr>
            <w:rStyle w:val="Hyperlink"/>
          </w:rPr>
          <w:t xml:space="preserve">section 5</w:t>
        </w:r>
      </w:hyperlink>
      <w:r>
        <w:t xml:space="preserve">'s anti-metrics</w:t>
      </w:r>
      <w:r>
        <w:t xml:space="preserve"> </w:t>
      </w:r>
      <w:r>
        <w:t xml:space="preserve">table as a badge that measures nothing. Most of what such a table would have held is stated once</w:t>
      </w:r>
      <w:r>
        <w:t xml:space="preserve"> </w:t>
      </w:r>
      <w:r>
        <w:t xml:space="preserve">already, in the body, at the rule.</w:t>
      </w:r>
    </w:p>
    <w:p>
      <w:pPr>
        <w:pStyle w:val="BodyText"/>
      </w:pPr>
      <w:r>
        <w:t xml:space="preserve">The 800-53 rows name controls as they stand in Release 5.2.0, per</w:t>
      </w:r>
      <w:r>
        <w:t xml:space="preserve"> </w:t>
      </w:r>
      <w:r>
        <w:rPr>
          <w:i/>
          <w:iCs/>
        </w:rPr>
        <w:t xml:space="preserve">Name the release, not just the</w:t>
      </w:r>
      <w:r>
        <w:rPr>
          <w:i/>
          <w:iCs/>
        </w:rPr>
        <w:t xml:space="preserve"> </w:t>
      </w:r>
      <w:r>
        <w:rPr>
          <w:i/>
          <w:iCs/>
        </w:rPr>
        <w:t xml:space="preserve">revision</w:t>
      </w:r>
      <w:r>
        <w:t xml:space="preserve"> </w:t>
      </w:r>
      <w:r>
        <w:t xml:space="preserve">above. And an absence from this table is not a claim in either direction: the area may have</w:t>
      </w:r>
      <w:r>
        <w:t xml:space="preserve"> </w:t>
      </w:r>
      <w:r>
        <w:t xml:space="preserve">been borrowed from, in which case a mark in the body says so, or it may simply be one nobody has</w:t>
      </w:r>
      <w:r>
        <w:t xml:space="preserve"> </w:t>
      </w:r>
      <w:r>
        <w:t xml:space="preserve">asked about yet.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NOT ADDRESSED, structurally. It requires two qualified individuals. Section 4 models the correct treatment of a control a small team cannot meet: name the control, record the deviation, name the compensating set actually in force, and name the event that ends it -- never redefine the control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NOT ADDRESSED. Section 4's comprehension bar -- reject code you cannot explain -- is the right-sized substitute and is already there. A training program with completion records beside it would be a second record of the same obligation, which is what section 17's name-the-record-of-record rule exists to prevent</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NOT ADDRESSED. The hash-chained log in section 9 is the right assurance level for this audience. Write-once media and public-key-backed non-repudiation are operator infrastructure whose cost is orders of magnitude above the threat a small producer is defending against</w:t>
            </w:r>
          </w:p>
        </w:tc>
      </w:tr>
      <w:tr>
        <w:tc>
          <w:tcPr/>
          <w:p>
            <w:pPr>
              <w:pStyle w:val="Compact"/>
            </w:pPr>
            <w:r>
              <w:t xml:space="preserve">800-53 CA-6, and the SP 800-53B baselines around it</w:t>
            </w:r>
          </w:p>
        </w:tc>
        <w:tc>
          <w:tcPr/>
          <w:p>
            <w:pPr>
              <w:pStyle w:val="Compact"/>
            </w:pPr>
            <w:r>
              <w:t xml:space="preserve">Select and tailor a control baseline, then authorize the system to operate</w:t>
            </w:r>
          </w:p>
        </w:tc>
        <w:tc>
          <w:tcPr/>
          <w:p>
            <w:pPr>
              <w:pStyle w:val="Compact"/>
            </w:pPr>
            <w:r>
              <w:t xml:space="preserve">NOT ADDRESSED, deliberately. This is what makes 800-53 mean something to a system owner and it is meaningless to a producer who does not operate the system. An adopter who follows the citation upstream will spend weeks tailoring and end with a document describing an organization they are not. Only named control text is borrowed here</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NOT ADDRESSED, structurally, for the same reason as AC-5: it requires two qualified individuals. Section 13 is where a solo maintainer records it, not section 10</w:t>
            </w:r>
          </w:p>
        </w:tc>
      </w:tr>
      <w:tr>
        <w:tc>
          <w:tcPr/>
          <w:p>
            <w:pPr>
              <w:pStyle w:val="Compact"/>
            </w:pPr>
            <w:r>
              <w:t xml:space="preserve">800-53 CP-2, CP-4</w:t>
            </w:r>
          </w:p>
        </w:tc>
        <w:tc>
          <w:tcPr/>
          <w:p>
            <w:pPr>
              <w:pStyle w:val="Compact"/>
            </w:pPr>
            <w:r>
              <w:t xml:space="preserve">A contingency plan for the system, and testing of it, with recovery time and recovery point objectives</w:t>
            </w:r>
          </w:p>
        </w:tc>
        <w:tc>
          <w:tcPr/>
          <w:p>
            <w:pPr>
              <w:pStyle w:val="Compact"/>
            </w:pPr>
            <w:r>
              <w:t xml:space="preserve">NOT ADDRESSED. Continuity of a running deployment is in the right-hand column of section 1's table, and claiming it would be the over-reach that table exists to prevent. Only the producer-side sliver crosses over -- backing up the producer's own evidence archive, in section 10 -- and section 10 states in the same paragraph that it does not cover a deployment's data</w:t>
            </w:r>
          </w:p>
        </w:tc>
      </w:tr>
      <w:tr>
        <w:tc>
          <w:tcPr/>
          <w:p>
            <w:pPr>
              <w:pStyle w:val="Compact"/>
            </w:pPr>
            <w:r>
              <w:t xml:space="preserve">800-53 IR-1 through IR-8 as a program</w:t>
            </w:r>
          </w:p>
        </w:tc>
        <w:tc>
          <w:tcPr/>
          <w:p>
            <w:pPr>
              <w:pStyle w:val="Compact"/>
            </w:pPr>
            <w:r>
              <w:t xml:space="preserve">An incident response capability with handling phases, training, testing and reporting obligations</w:t>
            </w:r>
          </w:p>
        </w:tc>
        <w:tc>
          <w:tcPr/>
          <w:p>
            <w:pPr>
              <w:pStyle w:val="Compact"/>
            </w:pPr>
            <w:r>
              <w:t xml:space="preserve">NOT ADDRESSED as a program. Section 12 carries the producer-scoped slice -- private intake, banded windows, root-cause review, coordinated disclosure, and the machinery exercised end to end at least once. Incidents are generated by running the software, which is the operator's column</w:t>
            </w:r>
          </w:p>
        </w:tc>
      </w:tr>
      <w:tr>
        <w:tc>
          <w:tcPr/>
          <w:p>
            <w:pPr>
              <w:pStyle w:val="Compact"/>
            </w:pPr>
            <w:r>
              <w:t xml:space="preserve">800-53 MA family</w:t>
            </w:r>
          </w:p>
        </w:tc>
        <w:tc>
          <w:tcPr/>
          <w:p>
            <w:pPr>
              <w:pStyle w:val="Compact"/>
            </w:pPr>
            <w:r>
              <w:t xml:space="preserve">Controlled maintenance, maintenance personnel, maintenance tools, nonlocal maintenance</w:t>
            </w:r>
          </w:p>
        </w:tc>
        <w:tc>
          <w:tcPr/>
          <w:p>
            <w:pPr>
              <w:pStyle w:val="Compact"/>
            </w:pPr>
            <w:r>
              <w:t xml:space="preserve">NOT ADDRESSED. It assumes an owned hardware estate serviced by identified technicians. There is no analogue in a topology of a workstation and a hosted runner, and forcing one produces a control satisfied by definition -- which is the failure section 5 names when it requires you to fire the failure class at a gate before crediting its green</w:t>
            </w:r>
          </w:p>
        </w:tc>
      </w:tr>
      <w:tr>
        <w:tc>
          <w:tcPr/>
          <w:p>
            <w:pPr>
              <w:pStyle w:val="Compact"/>
            </w:pPr>
            <w:r>
              <w:t xml:space="preserve">800-53 PE family</w:t>
            </w:r>
          </w:p>
        </w:tc>
        <w:tc>
          <w:tcPr/>
          <w:p>
            <w:pPr>
              <w:pStyle w:val="Compact"/>
            </w:pPr>
            <w:r>
              <w:t xml:space="preserve">Facility perimeter, physical access authorization and records, visitor control, environmental protection</w:t>
            </w:r>
          </w:p>
        </w:tc>
        <w:tc>
          <w:tcPr/>
          <w:p>
            <w:pPr>
              <w:pStyle w:val="Compact"/>
            </w:pPr>
            <w:r>
              <w:t xml:space="preserve">NOT ADDRESSED. A producing team has no facility to evidence any of it against. The part that would matter -- physical access to the machine the build runs on -- sits with the build service, which section 1's third-participant table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insider threat, a risk executive function</w:t>
            </w:r>
          </w:p>
        </w:tc>
        <w:tc>
          <w:tcPr/>
          <w:p>
            <w:pPr>
              <w:pStyle w:val="Compact"/>
            </w:pPr>
            <w:r>
              <w:t xml:space="preserve">NOT ADDRESSED. There is no small-team version of it. There is only a solo maintainer writing an organization chart that does not exist, which is the kind of fiction section 17's claim register is built to catch</w:t>
            </w:r>
          </w:p>
        </w:tc>
      </w:tr>
      <w:tr>
        <w:tc>
          <w:tcPr/>
          <w:p>
            <w:pPr>
              <w:pStyle w:val="Compact"/>
            </w:pPr>
            <w:r>
              <w:t xml:space="preserve">800-53 PS family</w:t>
            </w:r>
          </w:p>
        </w:tc>
        <w:tc>
          <w:tcPr/>
          <w:p>
            <w:pPr>
              <w:pStyle w:val="Compact"/>
            </w:pPr>
            <w:r>
              <w:t xml:space="preserve">Personnel screening, termination and transfer procedures, and formal sanctions for policy violation</w:t>
            </w:r>
          </w:p>
        </w:tc>
        <w:tc>
          <w:tcPr/>
          <w:p>
            <w:pPr>
              <w:pStyle w:val="Compact"/>
            </w:pPr>
            <w:r>
              <w:t xml:space="preserve">NOT ADDRESSED. Employment controls belong to the adopting organization. A one- or two-person team screening and sanctioning itself is theater, and naming it as satisfied would be worse than naming it absent</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NOT ADDRESSED as standing artifacts. Section 2's per-boundary threat model carries the part a producer can act on, and it is better targeted because it is checkable one boundary at a time. A standalone risk assessment gives the release gate something to point at that nobody verified</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and disposal</w:t>
            </w:r>
          </w:p>
        </w:tc>
        <w:tc>
          <w:tcPr/>
          <w:p>
            <w:pPr>
              <w:pStyle w:val="Compact"/>
            </w:pPr>
            <w:r>
              <w:t xml:space="preserve">NOT ADDRESSED. These are hardware and physical-supply-chain controls. The software supply-chain content a producer can actually evidence -- provenance, attestation over the digest, component inventory, published digest manifest, pinned toolchain -- is in section 10 and is stronger there than a mapping to these would make it</w:t>
            </w:r>
          </w:p>
        </w:tc>
      </w:tr>
      <w:tr>
        <w:tc>
          <w:tcPr/>
          <w:p>
            <w:pPr>
              <w:pStyle w:val="Compact"/>
            </w:pPr>
            <w:r>
              <w:t xml:space="preserve">Third-party agreements</w:t>
            </w:r>
          </w:p>
        </w:tc>
        <w:tc>
          <w:tcPr/>
          <w:p>
            <w:pPr>
              <w:pStyle w:val="Compact"/>
            </w:pPr>
            <w:r>
              <w:t xml:space="preserve">Contractual terms binding a service that handles your data, with defined obligations and remedies</w:t>
            </w:r>
          </w:p>
        </w:tc>
        <w:tc>
          <w:tcPr/>
          <w:p>
            <w:pPr>
              <w:pStyle w:val="Compact"/>
            </w:pPr>
            <w:r>
              <w:t xml:space="preserve">NOT ADDRESSED. The third-participant table records the trust and the failure mode; it does not attempt an agreement. Negotiated terms are the adopting organization's instrument, and a small team on a provider's standard terms has nothing to negotiate -- writing a clause it cannot enforce would be a compensating control resting on a false premise</w:t>
            </w:r>
          </w:p>
        </w:tc>
      </w:tr>
      <w:tr>
        <w:tc>
          <w:tcPr/>
          <w:p>
            <w:pPr>
              <w:pStyle w:val="Compact"/>
            </w:pPr>
            <w:r>
              <w:t xml:space="preserve">Assessment determination statements</w:t>
            </w:r>
          </w:p>
        </w:tc>
        <w:tc>
          <w:tcPr/>
          <w:p>
            <w:pPr>
              <w:pStyle w:val="Compact"/>
            </w:pPr>
            <w:r>
              <w:t xml:space="preserve">Per-control determination statements, assessed by examine, interview and test methods</w:t>
            </w:r>
          </w:p>
        </w:tc>
        <w:tc>
          <w:tcPr/>
          <w:p>
            <w:pPr>
              <w:pStyle w:val="Compact"/>
            </w:pPr>
            <w:r>
              <w:t xml:space="preserve">NOT ADDRESSED, and deliberately not imported. Converting a standard a team builds to into an audit program a team is subjected to changes what the document is for. Section 15 points at this site's own assessment method and is explicit that a second procedure must not be built beside it</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NOT ADDRESSED, and it would be over-reach to try. This document categorizes data classes, which are a property of the code it ships. The deployed system belongs to the adopting organization and its category is theirs to assign, per section 1's split and section 15's correction about not gating somebody else's deployment</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NOT ADDRESSED, and not borrowed. The publication is from 2008 and only its process material is durable, which is why the source list above scopes it to process and nothing here cites it for technique</w:t>
            </w:r>
          </w:p>
        </w:tc>
      </w:tr>
      <w:tr>
        <w:tc>
          <w:tcPr/>
          <w:p>
            <w:pPr>
              <w:pStyle w:val="Compact"/>
            </w:pPr>
            <w:r>
              <w:t xml:space="preserve">Social engineering testing</w:t>
            </w:r>
          </w:p>
        </w:tc>
        <w:tc>
          <w:tcPr/>
          <w:p>
            <w:pPr>
              <w:pStyle w:val="Compact"/>
            </w:pPr>
            <w:r>
              <w:t xml:space="preserve">Phishing simulation, pretexting, and physical-access attempts against people</w:t>
            </w:r>
          </w:p>
        </w:tc>
        <w:tc>
          <w:tcPr/>
          <w:p>
            <w:pPr>
              <w:pStyle w:val="Compact"/>
            </w:pPr>
            <w:r>
              <w:t xml:space="preserve">NOT ADDRESSED as a control. Its target is an organization's staff and premises, not a build. Section 15 requires the engagement scope to state what is explicitly out of scope, which is the one place a decision either way gets recorded rather than assumed</w:t>
            </w:r>
          </w:p>
        </w:tc>
      </w:tr>
    </w:tbl>
    <w:p>
      <w:r>
        <w:pict>
          <v:rect style="width:0;height:1.5pt" o:hralign="center" o:hrstd="t" o:hr="t"/>
        </w:pict>
      </w:r>
    </w:p>
    <w:bookmarkEnd w:id="68"/>
    <w:bookmarkStart w:id="69" w:name="sources"/>
    <w:p>
      <w:pPr>
        <w:pStyle w:val="Heading2"/>
      </w:pPr>
      <w:r>
        <w:t xml:space="preserve">Sources</w:t>
      </w:r>
    </w:p>
    <w:p>
      <w:pPr>
        <w:pStyle w:val="FirstParagraph"/>
      </w:pPr>
      <w:r>
        <w:t xml:space="preserve">The record of record for the four publications named above. Status, date, and the date the</w:t>
      </w:r>
      <w:r>
        <w:t xml:space="preserve"> </w:t>
      </w:r>
      <w:r>
        <w:t xml:space="preserve">status was last checked live here and nowhere else on the page, so a re-check is one edit. The one</w:t>
      </w:r>
      <w:r>
        <w:t xml:space="preserve"> </w:t>
      </w:r>
      <w:r>
        <w:t xml:space="preserve">place two of these dates appear again is the version-trap paragraph</w:t>
      </w:r>
      <w:r>
        <w:t xml:space="preserve"> </w:t>
      </w:r>
      <w:hyperlink w:anchor="where-the-rules-come-from">
        <w:r>
          <w:rPr>
            <w:rStyle w:val="Hyperlink"/>
          </w:rPr>
          <w:t xml:space="preserve">above</w:t>
        </w:r>
      </w:hyperlink>
      <w:r>
        <w:t xml:space="preserve">, where the two disagreeing dates</w:t>
      </w:r>
      <w:r>
        <w:t xml:space="preserve"> </w:t>
      </w:r>
      <w:r>
        <w:rPr>
          <w:i/>
          <w:iCs/>
        </w:rPr>
        <w:t xml:space="preserve">are</w:t>
      </w:r>
      <w:r>
        <w:t xml:space="preserve"> </w:t>
      </w:r>
      <w:r>
        <w:t xml:space="preserve">the argument rather than a</w:t>
      </w:r>
      <w:r>
        <w:t xml:space="preserve"> </w:t>
      </w:r>
      <w:r>
        <w:t xml:space="preserve">status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are the outcomes standing behind section 2's malformed-input harness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prose by the one-mark-per-rule cap, recorded here instead: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 confidentiality, integrity, availability -- at three impact levels, and the high-water-mark roll-up that rates a collection by the highest class it holds</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 -- see</w:t>
      </w:r>
      <w:r>
        <w:t xml:space="preserve"> </w:t>
      </w:r>
      <w:hyperlink w:anchor="Xd93b41aba76cd6464a6e694c5ed1cd30484ae10">
        <w:r>
          <w:rPr>
            <w:rStyle w:val="Hyperlink"/>
          </w:rPr>
          <w:t xml:space="preserve">section 17</w:t>
        </w:r>
      </w:hyperlink>
      <w:r>
        <w:t xml:space="preserve">.</w:t>
      </w:r>
    </w:p>
    <w:p>
      <w:r>
        <w:pict>
          <v:rect style="width:0;height:1.5pt" o:hralign="center" o:hrstd="t" o:hr="t"/>
        </w:pict>
      </w:r>
    </w:p>
    <w:bookmarkEnd w:id="69"/>
    <w:bookmarkStart w:id="73" w:name="related"/>
    <w:p>
      <w:pPr>
        <w:pStyle w:val="Heading2"/>
      </w:pPr>
      <w:r>
        <w:t xml:space="preserve">Related</w:t>
      </w:r>
    </w:p>
    <w:p>
      <w:pPr>
        <w:pStyle w:val="Compact"/>
        <w:numPr>
          <w:ilvl w:val="0"/>
          <w:numId w:val="1022"/>
        </w:numPr>
      </w:pPr>
      <w:hyperlink r:id="rId21">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22"/>
        </w:numPr>
      </w:pPr>
      <w:hyperlink r:id="rId28">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22"/>
        </w:numPr>
      </w:pPr>
      <w:hyperlink r:id="rId52">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22"/>
        </w:numPr>
      </w:pPr>
      <w:hyperlink r:id="rId70">
        <w:r>
          <w:rPr>
            <w:rStyle w:val="Hyperlink"/>
          </w:rPr>
          <w:t xml:space="preserve">What to ask a software vendor for</w:t>
        </w:r>
      </w:hyperlink>
      <w:r>
        <w:t xml:space="preserve"> </w:t>
      </w:r>
      <w:r>
        <w:t xml:space="preserve">-- the buyer's side of section 12, what</w:t>
      </w:r>
      <w:r>
        <w:t xml:space="preserve"> </w:t>
      </w:r>
      <w:r>
        <w:t xml:space="preserve">each item of evidence proves, and why organization-layer evidence is not software-layer evidence</w:t>
      </w:r>
    </w:p>
    <w:p>
      <w:pPr>
        <w:pStyle w:val="Compact"/>
        <w:numPr>
          <w:ilvl w:val="0"/>
          <w:numId w:val="1022"/>
        </w:numPr>
      </w:pPr>
      <w:hyperlink r:id="rId57">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22"/>
        </w:numPr>
      </w:pPr>
      <w:hyperlink r:id="rId71">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22"/>
        </w:numPr>
      </w:pPr>
      <w:hyperlink r:id="rId72">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ASVS-ASSESSMENT.md" TargetMode="External" /><Relationship Type="http://schemas.openxmlformats.org/officeDocument/2006/relationships/hyperlink" Id="rId71" Target="../CASE-STUDY-drift-audit.md" TargetMode="External" /><Relationship Type="http://schemas.openxmlformats.org/officeDocument/2006/relationships/hyperlink" Id="rId21" Target="../CI-AND-STANDARDS.md" TargetMode="External" /><Relationship Type="http://schemas.openxmlformats.org/officeDocument/2006/relationships/hyperlink" Id="rId28" Target="../LEAK-GATE.md" TargetMode="External" /><Relationship Type="http://schemas.openxmlformats.org/officeDocument/2006/relationships/hyperlink" Id="rId72" Target="../TIPS-AND-TRICKS.md" TargetMode="External" /><Relationship Type="http://schemas.openxmlformats.org/officeDocument/2006/relationships/hyperlink" Id="rId24" Target="CODE-QUALITY.md#the-evidence-and-the-hedge-each-citation-must-carry" TargetMode="External" /><Relationship Type="http://schemas.openxmlformats.org/officeDocument/2006/relationships/hyperlink" Id="rId52" Target="DEPENDENCY-INTEGRITY.md" TargetMode="External" /><Relationship Type="http://schemas.openxmlformats.org/officeDocument/2006/relationships/hyperlink" Id="rId70"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57" Target="../ASVS-ASSESSMENT.md" TargetMode="External" /><Relationship Type="http://schemas.openxmlformats.org/officeDocument/2006/relationships/hyperlink" Id="rId71" Target="../CASE-STUDY-drift-audit.md" TargetMode="External" /><Relationship Type="http://schemas.openxmlformats.org/officeDocument/2006/relationships/hyperlink" Id="rId21" Target="../CI-AND-STANDARDS.md" TargetMode="External" /><Relationship Type="http://schemas.openxmlformats.org/officeDocument/2006/relationships/hyperlink" Id="rId28" Target="../LEAK-GATE.md" TargetMode="External" /><Relationship Type="http://schemas.openxmlformats.org/officeDocument/2006/relationships/hyperlink" Id="rId72" Target="../TIPS-AND-TRICKS.md" TargetMode="External" /><Relationship Type="http://schemas.openxmlformats.org/officeDocument/2006/relationships/hyperlink" Id="rId24" Target="CODE-QUALITY.md#the-evidence-and-the-hedge-each-citation-must-carry" TargetMode="External" /><Relationship Type="http://schemas.openxmlformats.org/officeDocument/2006/relationships/hyperlink" Id="rId52" Target="DEPENDENCY-INTEGRITY.md" TargetMode="External" /><Relationship Type="http://schemas.openxmlformats.org/officeDocument/2006/relationships/hyperlink" Id="rId70"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2026-08-07T14:12:21Z</dcterms:created>
  <dcterms:modified xsi:type="dcterms:W3CDTF">2026-08-07T14:12:21Z</dcterms:modified>
</cp:coreProperties>
</file>

<file path=docProps/custom.xml><?xml version="1.0" encoding="utf-8"?>
<Properties xmlns="http://schemas.openxmlformats.org/officeDocument/2006/custom-properties" xmlns:vt="http://schemas.openxmlformats.org/officeDocument/2006/docPropsVTypes"/>
</file>