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8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t xml:space="preserve">A method for assessing a codebase against OWASP ASVS 5.0 -- a standard with several hundred</w:t>
      </w:r>
      <w:r>
        <w:t xml:space="preserve"> </w:t>
      </w:r>
      <w:r>
        <w:t xml:space="preserve">individually verifiable requirements -- when most of the scoring is done by Claude Code sessions</w:t>
      </w:r>
      <w:r>
        <w:t xml:space="preserve"> </w:t>
      </w:r>
      <w:r>
        <w:t xml:space="preserve">rather than by one person reading code all week.</w:t>
      </w:r>
    </w:p>
    <w:p>
      <w:pPr>
        <w:pStyle w:val="BodyText"/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 of</w:t>
      </w:r>
      <w:r>
        <w:t xml:space="preserve"> </w:t>
      </w:r>
      <w:r>
        <w:t xml:space="preserve">where a system is weak: which control is off, which surface is uncovered, which item nobody has got</w:t>
      </w:r>
      <w:r>
        <w:t xml:space="preserve"> </w:t>
      </w:r>
      <w:r>
        <w:t xml:space="preserve">to yet. That map belongs in a private record with the people who can act on it, not in a public</w:t>
      </w:r>
      <w:r>
        <w:t xml:space="preserve"> </w:t>
      </w:r>
      <w:r>
        <w:t xml:space="preserve">repository. So nothing below states a verdict, a count, a percentage, or a level attainment for any</w:t>
      </w:r>
      <w:r>
        <w:t xml:space="preserve"> </w:t>
      </w:r>
      <w:r>
        <w:t xml:space="preserve">codebase. What is here is the part that transfers: the procedure, the vocabulary, the traps, and the</w:t>
      </w:r>
      <w:r>
        <w:t xml:space="preserve"> </w:t>
      </w:r>
      <w:r>
        <w:t xml:space="preserve">review pass. If you want to know where a system stands, run the assessment against that system --</w:t>
      </w:r>
      <w:r>
        <w:t xml:space="preserve"> </w:t>
      </w:r>
      <w:r>
        <w:t xml:space="preserve">do not read someone's published summary of theirs.</w:t>
      </w:r>
    </w:p>
    <w:p>
      <w:pPr>
        <w:pStyle w:val="BodyText"/>
      </w:pPr>
      <w:r>
        <w:t xml:space="preserve">That separation is itself one of the lessons. Publishing the method invites scrutiny of the</w:t>
      </w:r>
      <w:r>
        <w:t xml:space="preserve"> </w:t>
      </w:r>
      <w:r>
        <w:t xml:space="preserve">reasoning. Publishing the register invites something else.</w:t>
      </w:r>
    </w:p>
    <w:p>
      <w:pPr>
        <w:pStyle w:val="BodyText"/>
      </w:pPr>
      <w:r>
        <w:rPr>
          <w:b/>
          <w:bCs/>
        </w:rPr>
        <w:t xml:space="preserve">Two independent sources.</w:t>
      </w:r>
      <w:r>
        <w:t xml:space="preserve"> </w:t>
      </w:r>
      <w:r>
        <w:t xml:space="preserve">What follows was first written from published method documents, then</w:t>
      </w:r>
      <w:r>
        <w:t xml:space="preserve"> </w:t>
      </w:r>
      <w:r>
        <w:t xml:space="preserve">corrected and deepened against a first-hand practitioner account from a session that ran an</w:t>
      </w:r>
      <w:r>
        <w:t xml:space="preserve"> </w:t>
      </w:r>
      <w:r>
        <w:t xml:space="preserve">assessment end to end and was asked afterwards for method only. Where the two disagreed, the</w:t>
      </w:r>
      <w:r>
        <w:t xml:space="preserve"> </w:t>
      </w:r>
      <w:r>
        <w:t xml:space="preserve">first-hand account won. Its organizing insight is worth stating up front, because most of the traps</w:t>
      </w:r>
      <w:r>
        <w:t xml:space="preserve"> </w:t>
      </w:r>
      <w:r>
        <w:t xml:space="preserve">below are instances of it:</w:t>
      </w:r>
      <w:r>
        <w:t xml:space="preserve"> </w:t>
      </w:r>
      <w:r>
        <w:rPr>
          <w:b/>
          <w:bCs/>
        </w:rPr>
        <w:t xml:space="preserve">the recurring failure is an instrument answering a narrower question</w:t>
      </w:r>
      <w:r>
        <w:rPr>
          <w:b/>
          <w:bCs/>
        </w:rPr>
        <w:t xml:space="preserve"> </w:t>
      </w:r>
      <w:r>
        <w:rPr>
          <w:b/>
          <w:bCs/>
        </w:rPr>
        <w:t xml:space="preserve">than the one asked, and looking clean while doing it.</w:t>
      </w:r>
    </w:p>
    <w:p>
      <w:r>
        <w:pict>
          <v:rect style="width:0;height:1.5pt" o:hralign="center" o:hrstd="t" o:hr="t"/>
        </w:pict>
      </w:r>
    </w:p>
    <w:bookmarkStart w:id="10" w:name="why-this-document-has-to-exist-at-all"/>
    <w:p>
      <w:pPr>
        <w:pStyle w:val="Heading2"/>
      </w:pPr>
      <w:r>
        <w:t xml:space="preserve">Why this document has to exist at all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t xml:space="preserve">That gap is invisible until you have several agents working in parallel. Each one arrives at a cell</w:t>
      </w:r>
      <w:r>
        <w:t xml:space="preserve"> </w:t>
      </w:r>
      <w:r>
        <w:t xml:space="preserve">with a reasonable, unwritten rule in its head; each produces a defensible verdict; and the same</w:t>
      </w:r>
      <w:r>
        <w:t xml:space="preserve"> </w:t>
      </w:r>
      <w:r>
        <w:t xml:space="preserve">requirement changes grade inside a day because two sessions weighed the same evidence differently.</w:t>
      </w:r>
      <w:r>
        <w:t xml:space="preserve"> </w:t>
      </w:r>
      <w:r>
        <w:t xml:space="preserve">Nothing looks wrong at any point. Both verdicts are argued. Both cite real code.</w:t>
      </w:r>
    </w:p>
    <w:p>
      <w:pPr>
        <w:pStyle w:val="BodyText"/>
      </w:pPr>
      <w:r>
        <w:t xml:space="preserve">An AI-assisted assessment amplifies this in a specific way: agents are fluent. An agent will produce</w:t>
      </w:r>
      <w:r>
        <w:t xml:space="preserve"> </w:t>
      </w:r>
      <w:r>
        <w:t xml:space="preserve">a 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  <w:r>
        <w:t xml:space="preserve"> </w:t>
      </w:r>
      <w:r>
        <w:rPr>
          <w:b/>
          <w:bCs/>
        </w:rPr>
        <w:t xml:space="preserve">Fluency is not the failure mode you are used to defending</w:t>
      </w:r>
      <w:r>
        <w:rPr>
          <w:b/>
          <w:bCs/>
        </w:rPr>
        <w:t xml:space="preserve"> </w:t>
      </w:r>
      <w:r>
        <w:rPr>
          <w:b/>
          <w:bCs/>
        </w:rPr>
        <w:t xml:space="preserve">against.</w:t>
      </w:r>
      <w:r>
        <w:t xml:space="preserve"> </w:t>
      </w:r>
      <w:r>
        <w:t xml:space="preserve">The whole method below is a set of forcing functions that make the difference between a</w:t>
      </w:r>
      <w:r>
        <w:t xml:space="preserve"> </w:t>
      </w:r>
      <w:r>
        <w:t xml:space="preserve">real verdict and a fluent one mechanically visible.</w:t>
      </w:r>
    </w:p>
    <w:bookmarkStart w:id="9" w:name="the-prerequisite-before-any-of-it"/>
    <w:p>
      <w:pPr>
        <w:pStyle w:val="Heading3"/>
      </w:pPr>
      <w:r>
        <w:t xml:space="preserve">The prerequisite, before any of it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step zero of the assessment,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Everything downstream</w:t>
      </w:r>
      <w:r>
        <w:t xml:space="preserve"> </w:t>
      </w:r>
      <w:r>
        <w:t xml:space="preserve">depends on an assessor being able to quote the requirement it is judging.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3" w:name="one-record-of-record"/>
    <w:p>
      <w:pPr>
        <w:pStyle w:val="Heading2"/>
      </w:pPr>
      <w:r>
        <w:t xml:space="preserve">One record of record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t xml:space="preserve">A status written into prose is a copy. It is correct on the day it is typed and rots silently after --</w:t>
      </w:r>
      <w:r>
        <w:t xml:space="preserve"> </w:t>
      </w:r>
      <w:r>
        <w:t xml:space="preserve">and prose is where restatement is most tempting, because it reads well: a summary here, a remediation</w:t>
      </w:r>
      <w:r>
        <w:t xml:space="preserve"> </w:t>
      </w:r>
      <w:r>
        <w:t xml:space="preserve">note there, an architecture page mentioning where things stand. The observable symptom is several</w:t>
      </w:r>
      <w:r>
        <w:t xml:space="preserve"> </w:t>
      </w:r>
      <w:r>
        <w:t xml:space="preserve">documents asserting mutually inconsistent totals, each defensible at the moment it was written, with</w:t>
      </w:r>
      <w:r>
        <w:t xml:space="preserve"> </w:t>
      </w:r>
      <w:r>
        <w:t xml:space="preserve">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11" w:name="the-failure-that-actually-teaches-this"/>
    <w:p>
      <w:pPr>
        <w:pStyle w:val="Heading3"/>
      </w:pPr>
      <w:r>
        <w:t xml:space="preserve">The failure that actually teaches this</w:t>
      </w:r>
    </w:p>
    <w:p>
      <w:pPr>
        <w:pStyle w:val="FirstParagraph"/>
      </w:pPr>
      <w:r>
        <w:t xml:space="preserve">The mild version is several dated prose documents each asserting a figure, each superseded within</w:t>
      </w:r>
      <w:r>
        <w:t xml:space="preserve"> </w:t>
      </w:r>
      <w:r>
        <w:t xml:space="preserve">weeks, readers taking whichever they found first and finding they do not agree. Annoying, survivable.</w:t>
      </w:r>
    </w:p>
    <w:p>
      <w:pPr>
        <w:pStyle w:val="BodyText"/>
      </w:pPr>
      <w:r>
        <w:t xml:space="preserve">The expensive version:</w:t>
      </w:r>
      <w:r>
        <w:t xml:space="preserve"> </w:t>
      </w:r>
      <w:r>
        <w:rPr>
          <w:b/>
          <w:bCs/>
        </w:rPr>
        <w:t xml:space="preserve">a planning document published a figure that had never been measured</w:t>
      </w:r>
      <w:r>
        <w:t xml:space="preserve"> </w:t>
      </w:r>
      <w:r>
        <w:t xml:space="preserve">-- in a</w:t>
      </w:r>
      <w:r>
        <w:t xml:space="preserve"> </w:t>
      </w:r>
      <w:r>
        <w:t xml:space="preserve">document whose entire purpose was to tell the next person what to do. Two subsequent sessions planned</w:t>
      </w:r>
      <w:r>
        <w:t xml:space="preserve"> </w:t>
      </w:r>
      <w:r>
        <w:t xml:space="preserve">against it. It was wrong by roughly a factor of five, and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And the priority ordering that follows from the above: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11"/>
    <w:bookmarkStart w:id="12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the one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14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So: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,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, and report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not-yet-re-verified</w:t>
      </w:r>
      <w:r>
        <w:t xml:space="preserve"> </w:t>
      </w:r>
      <w:r>
        <w:t xml:space="preserve">as two numbers rather than one.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</w:t>
      </w:r>
      <w:r>
        <w:t xml:space="preserve"> </w:t>
      </w:r>
      <w:r>
        <w:t xml:space="preserve">the set has been read against the pinned text -- as its own figure, and say on every verdict total</w:t>
      </w:r>
      <w:r>
        <w:t xml:space="preserve"> </w:t>
      </w:r>
      <w:r>
        <w:t xml:space="preserve">that 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 Those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re-verification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 different work:</w:t>
      </w:r>
      <w:r>
        <w:t xml:space="preserve"> </w:t>
      </w:r>
      <w:r>
        <w:t xml:space="preserve">one is a re-derivation against text you already hold, the other is an investigation. Everything</w:t>
      </w:r>
      <w:r>
        <w:t xml:space="preserve"> </w:t>
      </w:r>
      <w:r>
        <w:t xml:space="preserve">downstream -- effort estimates, sequencing, what a reader thinks the deficit is -- forks on which one</w:t>
      </w:r>
      <w:r>
        <w:t xml:space="preserve"> </w:t>
      </w:r>
      <w:r>
        <w:t xml:space="preserve">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 --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t xml:space="preserve">State the debt in accurate words for the same reason. 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 The honest phrasing is</w:t>
      </w:r>
      <w:r>
        <w:t xml:space="preserve"> </w:t>
      </w:r>
      <w:r>
        <w:rPr>
          <w:i/>
          <w:iCs/>
        </w:rPr>
        <w:t xml:space="preserve">"N verified against the pinned requirement text; M</w:t>
      </w:r>
      <w:r>
        <w:rPr>
          <w:i/>
          <w:iCs/>
        </w:rPr>
        <w:t xml:space="preserve"> </w:t>
      </w:r>
      <w:r>
        <w:rPr>
          <w:i/>
          <w:iCs/>
        </w:rPr>
        <w:t xml:space="preserve">carry verdicts not yet re-verified against it."</w:t>
      </w:r>
      <w:r>
        <w:t xml:space="preserve"> </w:t>
      </w:r>
      <w:r>
        <w:t xml:space="preserve">Overstating a deficit gets corrected, and the</w:t>
      </w:r>
      <w:r>
        <w:t xml:space="preserve"> </w:t>
      </w:r>
      <w:r>
        <w:t xml:space="preserve">correction costs you credibility on everything you got right.</w:t>
      </w:r>
    </w:p>
    <w:bookmarkEnd w:id="14"/>
    <w:bookmarkStart w:id="15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the reason it survives review is that the</w:t>
      </w:r>
      <w:r>
        <w:t xml:space="preserve"> </w:t>
      </w:r>
      <w:r>
        <w:t xml:space="preserve">evidence is genuine: the control exists, it is well built, it is documented, and it works when</w:t>
      </w:r>
      <w:r>
        <w:t xml:space="preserve"> </w:t>
      </w:r>
      <w:r>
        <w:t xml:space="preserve">enabled. In a codebase where most security features are opt-in, this one misreading can convert a</w:t>
      </w:r>
      <w:r>
        <w:t xml:space="preserve"> </w:t>
      </w:r>
      <w:r>
        <w:t xml:space="preserve">large fraction of the assessment into unearned passes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15"/>
    <w:bookmarkStart w:id="16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 --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feeling, and require the cell</w:t>
      </w:r>
      <w:r>
        <w:t xml:space="preserve"> </w:t>
      </w:r>
      <w:r>
        <w:t xml:space="preserve">to 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 Anything with no implementing code in any configuration is not partial -- it is a fail.</w:t>
      </w:r>
      <w:r>
        <w:t xml:space="preserve"> </w:t>
      </w:r>
      <w:r>
        <w:t xml:space="preserve">Anything satisfied by a shipped default is not partial -- it is a pass.</w:t>
      </w:r>
    </w:p>
    <w:bookmarkEnd w:id="16"/>
    <w:bookmarkStart w:id="17" w:name="the-standing-tie-breaker"/>
    <w:p>
      <w:pPr>
        <w:pStyle w:val="Heading3"/>
      </w:pPr>
      <w:r>
        <w:t xml:space="preserve">The standing tie-breaker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t xml:space="preserve">Weighing the whole picture per cell feels more rigorous than a checklist. It produces results that</w:t>
      </w:r>
      <w:r>
        <w:t xml:space="preserve"> </w:t>
      </w:r>
      <w:r>
        <w:t xml:space="preserve">are defensible one at a time and unstable across the set, because identical evidence lands</w:t>
      </w:r>
      <w:r>
        <w:t xml:space="preserve"> </w:t>
      </w:r>
      <w:r>
        <w:t xml:space="preserve">differently depending on which consideration the assessor happened to weigh first.</w:t>
      </w:r>
    </w:p>
    <w:p>
      <w:pPr>
        <w:pStyle w:val="BodyText"/>
      </w:pPr>
      <w:r>
        <w:t xml:space="preserve">So make the questions a numbered sequence, and let the</w:t>
      </w:r>
      <w:r>
        <w:t xml:space="preserve"> </w:t>
      </w:r>
      <w:r>
        <w:rPr>
          <w:b/>
          <w:bCs/>
        </w:rPr>
        <w:t xml:space="preserve">first matching rule decide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two assessors following 1-5 disagree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</w:t>
      </w:r>
    </w:p>
    <w:p>
      <w:pPr>
        <w:pStyle w:val="FirstParagraph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reverse, and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is what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t xml:space="preserve">And keep worked examples of the genuinely hard calls in the method document -- written so the next</w:t>
      </w:r>
      <w:r>
        <w:t xml:space="preserve"> </w:t>
      </w:r>
      <w:r>
        <w:t xml:space="preserve">agent reaches the same answer rather than re-litigating it from scratch. (Keep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 the</w:t>
      </w:r>
      <w:r>
        <w:t xml:space="preserve"> </w:t>
      </w:r>
      <w:r>
        <w:t xml:space="preserve">transferable part.)</w:t>
      </w:r>
    </w:p>
    <w:p>
      <w:r>
        <w:pict>
          <v:rect style="width:0;height:1.5pt" o:hralign="center" o:hrstd="t" o:hr="t"/>
        </w:pict>
      </w:r>
    </w:p>
    <w:bookmarkEnd w:id="19"/>
    <w:bookmarkStart w:id="21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20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 is small enough that one agent can hold the requirement text, one implementing code path,</w:t>
      </w:r>
      <w:r>
        <w:t xml:space="preserve"> </w:t>
      </w:r>
      <w:r>
        <w:t xml:space="preserve">and one evidence pointer in a single context window.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resistance: it removes work and improves the</w:t>
      </w:r>
      <w:r>
        <w:t xml:space="preserve"> </w:t>
      </w:r>
      <w:r>
        <w:t xml:space="preserve">shape of the record at the same time, and every individual exclusion sounds sensible. Left</w:t>
      </w:r>
      <w:r>
        <w:t xml:space="preserve"> </w:t>
      </w:r>
      <w:r>
        <w:t xml:space="preserve">undefined, 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22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way, so a cell that is out of scope by physics reads identically to</w:t>
      </w:r>
      <w:r>
        <w:t xml:space="preserve"> </w:t>
      </w:r>
      <w:r>
        <w:t xml:space="preserve">one that is out of scope only because you are relying on the deploying organization to cover it. The</w:t>
      </w:r>
      <w:r>
        <w:t xml:space="preserve"> </w:t>
      </w:r>
      <w:r>
        <w:t xml:space="preserve">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If the product ships a seam it could have implemented,</w:t>
      </w:r>
      <w:r>
        <w:t xml:space="preserve"> </w:t>
      </w:r>
      <w:r>
        <w:t xml:space="preserve">or the exclusion assumes an enterprise control covers some path,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-- write</w:t>
      </w:r>
      <w:r>
        <w:t xml:space="preserve"> </w:t>
      </w:r>
      <w:r>
        <w:t xml:space="preserve">the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22"/>
    <w:bookmarkStart w:id="23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 When a rationale depends on a precondition being unreachable,</w:t>
      </w:r>
      <w:r>
        <w:t xml:space="preserve"> </w:t>
      </w:r>
      <w:r>
        <w:rPr>
          <w:b/>
          <w:bCs/>
        </w:rPr>
        <w:t xml:space="preserve">write that</w:t>
      </w:r>
      <w:r>
        <w:rPr>
          <w:b/>
          <w:bCs/>
        </w:rPr>
        <w:t xml:space="preserve"> </w:t>
      </w:r>
      <w:r>
        <w:rPr>
          <w:b/>
          <w:bCs/>
        </w:rPr>
        <w:t xml:space="preserve">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23"/>
    <w:bookmarkStart w:id="24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indefensible:</w:t>
      </w:r>
    </w:p>
    <w:p>
      <w:pPr>
        <w:pStyle w:val="Compact"/>
        <w:numPr>
          <w:ilvl w:val="0"/>
          <w:numId w:val="1004"/>
        </w:numPr>
      </w:pPr>
      <w:r>
        <w:t xml:space="preserve">The standards body</w:t>
      </w:r>
      <w:r>
        <w:t xml:space="preserve"> </w:t>
      </w:r>
      <w:r>
        <w:rPr>
          <w:b/>
          <w:bCs/>
        </w:rPr>
        <w:t xml:space="preserve">assigns each requirement to a level</w:t>
      </w:r>
      <w:r>
        <w:t xml:space="preserve"> </w:t>
      </w:r>
      <w:r>
        <w:t xml:space="preserve">and retains authority over the</w:t>
      </w:r>
      <w:r>
        <w:t xml:space="preserve"> </w:t>
      </w:r>
      <w:r>
        <w:t xml:space="preserve">requirement set. A level claim that omits requirements it places at that level is non-conformant on</w:t>
      </w:r>
      <w:r>
        <w:t xml:space="preserve"> </w:t>
      </w:r>
      <w:r>
        <w:t xml:space="preserve">the standard's own terms, however good the argument.</w:t>
      </w:r>
    </w:p>
    <w:p>
      <w:pPr>
        <w:pStyle w:val="Compact"/>
        <w:numPr>
          <w:ilvl w:val="0"/>
          <w:numId w:val="1004"/>
        </w:numPr>
      </w:pPr>
      <w:r>
        <w:t xml:space="preserve">Check whether the edition you are assessing against still contains any clause preserving a</w:t>
      </w:r>
      <w:r>
        <w:t xml:space="preserve"> </w:t>
      </w:r>
      <w:r>
        <w:t xml:space="preserve">compliance claim under documented exclusions. Older editions of a standard may say things the</w:t>
      </w:r>
      <w:r>
        <w:t xml:space="preserve"> </w:t>
      </w:r>
      <w:r>
        <w:t xml:space="preserve">current one dropped -- and a rationale citing dropped text is citing a superseded standard.</w:t>
      </w:r>
    </w:p>
    <w:p>
      <w:pPr>
        <w:pStyle w:val="FirstParagraph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 If</w:t>
      </w:r>
      <w:r>
        <w:t xml:space="preserve"> </w:t>
      </w:r>
      <w:r>
        <w:t xml:space="preserve">your artifact is a beta with zero running instances -- nobody has deployed it, nobody is operating it</w:t>
      </w:r>
      <w:r>
        <w:t xml:space="preserve"> </w:t>
      </w:r>
      <w:r>
        <w:t xml:space="preserve">-- two dishonest shortcuts are available and both are tempting: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Score it satisfied</w:t>
      </w:r>
      <w:r>
        <w:t xml:space="preserve"> </w:t>
      </w:r>
      <w:r>
        <w:t xml:space="preserve">because the recommended deployment would satisfy it. This assesses a</w:t>
      </w:r>
      <w:r>
        <w:t xml:space="preserve"> </w:t>
      </w:r>
      <w:r>
        <w:t xml:space="preserve">hypothetical operator, not the software.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 </w:t>
      </w:r>
      <w:r>
        <w:t xml:space="preserve">because there is no deployment. This quietly erases a real requirement.</w:t>
      </w:r>
    </w:p>
    <w:p>
      <w:pPr>
        <w:pStyle w:val="FirstParagraph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t xml:space="preserve">Zero deployments changes exactly two things, and neither is the bar. It removes</w:t>
      </w:r>
      <w:r>
        <w:t xml:space="preserve"> </w:t>
      </w:r>
      <w:r>
        <w:rPr>
          <w:b/>
          <w:bCs/>
        </w:rPr>
        <w:t xml:space="preserve">false urgency</w:t>
      </w:r>
      <w:r>
        <w:t xml:space="preserve"> </w:t>
      </w:r>
      <w:r>
        <w:t xml:space="preserve">--</w:t>
      </w:r>
      <w:r>
        <w:t xml:space="preserve"> </w:t>
      </w:r>
      <w:r>
        <w:t xml:space="preserve">there is no exposed instance to panic about -- and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, because</w:t>
      </w:r>
      <w:r>
        <w:t xml:space="preserve"> </w:t>
      </w:r>
      <w:r>
        <w:t xml:space="preserve">there is no installed base to migrate, so "we cannot change that now" is not available as a reason.</w:t>
      </w:r>
      <w:r>
        <w:t xml:space="preserve"> </w:t>
      </w: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26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 and</w:t>
      </w:r>
      <w:r>
        <w:rPr>
          <w:b/>
          <w:bCs/>
        </w:rPr>
        <w:t xml:space="preserve"> </w:t>
      </w:r>
      <w:r>
        <w:rPr>
          <w:b/>
          <w:bCs/>
        </w:rPr>
        <w:t xml:space="preserve">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 on</w:t>
      </w:r>
      <w:r>
        <w:rPr>
          <w:i/>
          <w:iCs/>
        </w:rPr>
        <w:t xml:space="preserve"> </w:t>
      </w:r>
      <w:r>
        <w:rPr>
          <w:i/>
          <w:iCs/>
        </w:rPr>
        <w:t xml:space="preserve">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directions: the record is read as authoritative, and a</w:t>
      </w:r>
      <w:r>
        <w:t xml:space="preserve"> </w:t>
      </w:r>
      <w:r>
        <w:t xml:space="preserve">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swapped, fluent and on-topic and containing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resolving within a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inside the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p>
      <w:pPr>
        <w:pStyle w:val="BodyText"/>
      </w:pPr>
      <w:r>
        <w:rPr>
          <w:b/>
          <w:bCs/>
        </w:rPr>
        <w:t xml:space="preserve">Anchor to a token, not to a line number.</w:t>
      </w:r>
      <w:r>
        <w:t xml:space="preserve"> </w:t>
      </w:r>
      <w:r>
        <w:t xml:space="preserve">Line-numbered evidence is precise on the day it is</w:t>
      </w:r>
      <w:r>
        <w:t xml:space="preserve"> </w:t>
      </w:r>
      <w:r>
        <w:t xml:space="preserve">written; every edit above it shifts the line, the whole anchor set thrashes, and reviewers learn to</w:t>
      </w:r>
      <w:r>
        <w:t xml:space="preserve"> </w:t>
      </w:r>
      <w:r>
        <w:t xml:space="preserve">ignore anchor failures -- which is strictly worse than having no anchors at all. Path plus line plus</w:t>
      </w:r>
      <w:r>
        <w:t xml:space="preserve"> </w:t>
      </w:r>
      <w:r>
        <w:t xml:space="preserve">token tolerates ordinary edits and fails on the ones 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 on</w:t>
      </w:r>
      <w:r>
        <w:rPr>
          <w:b/>
          <w:bCs/>
        </w:rPr>
        <w:t xml:space="preserve"> </w:t>
      </w:r>
      <w:r>
        <w:rPr>
          <w:b/>
          <w:bCs/>
        </w:rPr>
        <w:t xml:space="preserve">a schedule, not on demand</w:t>
      </w:r>
      <w:r>
        <w:t xml:space="preserve"> </w:t>
      </w:r>
      <w:r>
        <w:t xml:space="preserve">-- on demand means the set is only ever re-checked by someone who already</w:t>
      </w:r>
      <w:r>
        <w:t xml:space="preserve"> </w:t>
      </w:r>
      <w:r>
        <w:t xml:space="preserve">suspects something.</w:t>
      </w:r>
    </w:p>
    <w:bookmarkStart w:id="28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Drift is the gate working, not a defect.</w:t>
      </w:r>
      <w:r>
        <w:t xml:space="preserve"> </w:t>
      </w:r>
      <w:r>
        <w:t xml:space="preserve">The correct response to a broken anchor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 the cell actually graded now lives, and re-read the</w:t>
      </w:r>
      <w:r>
        <w:t xml:space="preserve"> </w:t>
      </w:r>
      <w:r>
        <w:t xml:space="preserve">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</w:t>
      </w:r>
      <w:r>
        <w:t xml:space="preserve"> </w:t>
      </w:r>
      <w:r>
        <w:t xml:space="preserve">the old line is how a citation ends up describing code the cell never assessed.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If</w:t>
      </w:r>
      <w:r>
        <w:t xml:space="preserve"> </w:t>
      </w:r>
      <w:r>
        <w:t xml:space="preserve">the on-topic token is not unique and you reach for a nearby unrelated string to disambiguate, an</w:t>
      </w:r>
      <w:r>
        <w:t xml:space="preserve"> </w:t>
      </w:r>
      <w:r>
        <w:t xml:space="preserve">edit to code the cell does not grade will break the citation -- and a broken citation invites exactly</w:t>
      </w:r>
      <w:r>
        <w:t xml:space="preserve"> </w:t>
      </w:r>
      <w:r>
        <w:t xml:space="preserve">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 If none exists,</w:t>
      </w:r>
      <w:r>
        <w:t xml:space="preserve"> </w:t>
      </w:r>
      <w:r>
        <w:t xml:space="preserve">that is a signal about the cell, not about the anchor format: the mechanism it claims to cite may not</w:t>
      </w:r>
      <w:r>
        <w:t xml:space="preserve"> </w:t>
      </w:r>
      <w:r>
        <w:t xml:space="preserve">be as identifiable as the verdict assumes.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28"/>
    <w:bookmarkStart w:id="29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 Automation is not the problem -- "testable using automation" is not the</w:t>
      </w:r>
      <w:r>
        <w:t xml:space="preserve"> </w:t>
      </w:r>
      <w:r>
        <w:t xml:space="preserve">same as "ran a generic tool". 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</w:t>
      </w:r>
      <w:r>
        <w:t xml:space="preserve"> </w:t>
      </w:r>
      <w:r>
        <w:t xml:space="preserve">describing it.</w:t>
      </w:r>
    </w:p>
    <w:bookmarkEnd w:id="29"/>
    <w:bookmarkStart w:id="31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pair</w:t>
      </w:r>
      <w:r>
        <w:t xml:space="preserve">: the pattern that must return nothing, and a positive</w:t>
      </w:r>
      <w:r>
        <w:t xml:space="preserve"> </w:t>
      </w:r>
      <w:r>
        <w:t xml:space="preserve">control of the same class that must still match something. If the positive control goes quiet, the</w:t>
      </w:r>
      <w:r>
        <w:t xml:space="preserve"> </w:t>
      </w:r>
      <w:r>
        <w:t xml:space="preserve">absence 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This repository has a worked example of the same principle applied to guardrails.</w:t>
      </w:r>
      <w:r>
        <w:t xml:space="preserve"> </w:t>
      </w:r>
      <w:hyperlink r:id="rId30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 a</w:t>
      </w:r>
      <w:r>
        <w:t xml:space="preserve"> </w:t>
      </w:r>
      <w:r>
        <w:t xml:space="preserve">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 refuses</w:t>
      </w:r>
      <w:r>
        <w:t xml:space="preserve"> </w:t>
      </w:r>
      <w:r>
        <w:t xml:space="preserve">everything is not a working guard either. It prints what it scanned on every run, and reports a</w:t>
      </w:r>
      <w:r>
        <w:t xml:space="preserve"> </w:t>
      </w:r>
      <w:r>
        <w:t xml:space="preserve">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 letting a skip read as a pass. That is the exact posture</w:t>
      </w:r>
      <w:r>
        <w:t xml:space="preserve"> </w:t>
      </w:r>
      <w:r>
        <w:t xml:space="preserve">an assessment needs:</w:t>
      </w:r>
      <w:r>
        <w:t xml:space="preserve"> </w:t>
      </w:r>
      <w:r>
        <w:rPr>
          <w:i/>
          <w:iCs/>
        </w:rPr>
        <w:t xml:space="preserve">before you trust a gate, make it fail on purpose, and prove it can see the class</w:t>
      </w:r>
      <w:r>
        <w:rPr>
          <w:i/>
          <w:iCs/>
        </w:rPr>
        <w:t xml:space="preserve"> </w:t>
      </w:r>
      <w:r>
        <w:rPr>
          <w:i/>
          <w:iCs/>
        </w:rPr>
        <w:t xml:space="preserve">of thing it claims to have ruled out.</w:t>
      </w:r>
    </w:p>
    <w:bookmarkEnd w:id="31"/>
    <w:bookmarkStart w:id="32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8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8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8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8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control ID and a one-line summary -- from an internal scorecard, a spreadsheet, or</w:t>
      </w:r>
      <w:r>
        <w:t xml:space="preserve"> </w:t>
      </w:r>
      <w:r>
        <w:t xml:space="preserve">an earlier assessment -- and then reasons about the code from that. It feels exactly like verification:</w:t>
      </w:r>
      <w:r>
        <w:t xml:space="preserve"> </w:t>
      </w:r>
      <w:r>
        <w:t xml:space="preserve">code was read, a verdict was written, a citation exists. But the verb being tested 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too: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34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 --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 whether</w:t>
      </w:r>
      <w:r>
        <w:t xml:space="preserve"> </w:t>
      </w:r>
      <w:r>
        <w:t xml:space="preserve">what was read has since changed. Two independent causes keep the score moving, and only one of them</w:t>
      </w:r>
      <w:r>
        <w:t xml:space="preserve"> </w:t>
      </w:r>
      <w:r>
        <w:t xml:space="preserve">involves anybody doing assessment work: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t xml:space="preserve">Cause 2 is the dangerous one,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</w:t>
      </w:r>
      <w:r>
        <w:t xml:space="preserve"> </w:t>
      </w:r>
      <w:r>
        <w:t xml:space="preserve">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 pinned to,</w:t>
      </w:r>
      <w:r>
        <w:t xml:space="preserve"> </w:t>
      </w:r>
      <w:r>
        <w:t xml:space="preserve">the recorded verdict stops being true -- and no bucket total moves at all. Stability reads as "nothing</w:t>
      </w:r>
      <w:r>
        <w:t xml:space="preserve"> </w:t>
      </w:r>
      <w:r>
        <w:t xml:space="preserve">to see". Several anchors across several cells can break in a single ordinary refactor with zero</w:t>
      </w:r>
      <w:r>
        <w:t xml:space="preserve"> </w:t>
      </w:r>
      <w:r>
        <w:t xml:space="preserve">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exactly which cells a change touched: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37"/>
    <w:bookmarkStart w:id="39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 means</w:t>
      </w:r>
      <w:r>
        <w:t xml:space="preserve"> </w:t>
      </w:r>
      <w:r>
        <w:t xml:space="preserve">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re-verified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N",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, and the sentence</w:t>
      </w:r>
      <w:r>
        <w:t xml:space="preserve"> </w:t>
      </w:r>
      <w:r>
        <w:t xml:space="preserve">is indistinguishable from a result -- same shape, same confidence, same place in the document. Nothing</w:t>
      </w:r>
      <w:r>
        <w:t xml:space="preserve"> </w:t>
      </w:r>
      <w:r>
        <w:t xml:space="preserve">in the record marks it, and no gate can catch it, because a gate can only check figures that claim a</w:t>
      </w:r>
      <w:r>
        <w:t xml:space="preserve"> </w:t>
      </w:r>
      <w:r>
        <w:t xml:space="preserve">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38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security, and it is the sentence that will</w:t>
      </w:r>
      <w:r>
        <w:t xml:space="preserve"> </w:t>
      </w:r>
      <w:r>
        <w:t xml:space="preserve">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 But the collision that actually costs you is not two</w:t>
      </w:r>
      <w:r>
        <w:t xml:space="preserve"> </w:t>
      </w:r>
      <w:r>
        <w:t xml:space="preserve">agents editing the same row -- it is</w:t>
      </w:r>
      <w:r>
        <w:t xml:space="preserve"> </w:t>
      </w:r>
      <w:r>
        <w:rPr>
          <w:b/>
          <w:bCs/>
        </w:rPr>
        <w:t xml:space="preserve">two agents applying different unwritten rules</w:t>
      </w:r>
      <w:r>
        <w:t xml:space="preserve"> </w:t>
      </w:r>
      <w:r>
        <w:t xml:space="preserve">and producing</w:t>
      </w:r>
      <w:r>
        <w:t xml:space="preserve"> </w:t>
      </w:r>
      <w:r>
        <w:t xml:space="preserve">verdicts that cannot be reconciled later, because neither recorded which rule it applied.</w:t>
      </w:r>
    </w:p>
    <w:p>
      <w:pPr>
        <w:pStyle w:val="BodyText"/>
      </w:pPr>
      <w:r>
        <w:t xml:space="preserve">So partition on both axes: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anything else here.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 and</w:t>
      </w:r>
      <w:r>
        <w:t xml:space="preserve"> </w:t>
      </w:r>
      <w:r>
        <w:t xml:space="preserve">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 that</w:t>
      </w:r>
      <w:r>
        <w:t xml:space="preserve"> </w:t>
      </w:r>
      <w:r>
        <w:t xml:space="preserve">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 This repository's</w:t>
      </w:r>
      <w:r>
        <w:t xml:space="preserve"> </w:t>
      </w:r>
      <w:hyperlink r:id="rId40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pattern: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 -- work that has no ticket number and that nobody thought to coordinate. Claims do not</w:t>
      </w:r>
      <w:r>
        <w:t xml:space="preserve"> </w:t>
      </w:r>
      <w:r>
        <w:t xml:space="preserve">expire, because an auto-expiring claim silently re-opens the race it exists to prevent, and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(The numbered form is enforced at</w:t>
      </w:r>
      <w:r>
        <w:t xml:space="preserve"> </w:t>
      </w:r>
      <w:r>
        <w:t xml:space="preserve">commit time by</w:t>
      </w:r>
      <w:r>
        <w:t xml:space="preserve"> </w:t>
      </w:r>
      <w:hyperlink r:id="rId41">
        <w:r>
          <w:rPr>
            <w:rStyle w:val="VerbatimChar"/>
          </w:rPr>
          <w:t xml:space="preserve">scripts/hooks/claim_check.py</w:t>
        </w:r>
      </w:hyperlink>
      <w:r>
        <w:t xml:space="preserve">; the</w:t>
      </w:r>
      <w:r>
        <w:t xml:space="preserve"> </w:t>
      </w:r>
      <w:r>
        <w:t xml:space="preserve">sequence-number analogue, for allocating identifiers atomically instead of by grepping for the next</w:t>
      </w:r>
      <w:r>
        <w:t xml:space="preserve"> </w:t>
      </w:r>
      <w:r>
        <w:t xml:space="preserve">free one, is</w:t>
      </w:r>
      <w:r>
        <w:t xml:space="preserve"> </w:t>
      </w:r>
      <w:hyperlink r:id="rId42">
        <w:r>
          <w:rPr>
            <w:rStyle w:val="VerbatimChar"/>
          </w:rPr>
          <w:t xml:space="preserve">scripts/coord/alloc.ps1</w:t>
        </w:r>
      </w:hyperlink>
      <w:r>
        <w:t xml:space="preserve">.)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43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t xml:space="preserve">The one that bites:</w:t>
      </w:r>
      <w:r>
        <w:t xml:space="preserve"> </w:t>
      </w:r>
      <w:r>
        <w:rPr>
          <w:b/>
          <w:bCs/>
        </w:rPr>
        <w:t xml:space="preserve">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 Both changes are individually correct. Applied together they are incoherent, and applied in</w:t>
      </w:r>
      <w:r>
        <w:t xml:space="preserve"> </w:t>
      </w:r>
      <w:r>
        <w:t xml:space="preserve">sequence 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p>
      <w:pPr>
        <w:pStyle w:val="BodyText"/>
      </w:pPr>
      <w:r>
        <w:rPr>
          <w:b/>
          <w:bCs/>
        </w:rPr>
        <w:t xml:space="preserve">Contested cells get parked, not forced.</w:t>
      </w:r>
      <w:r>
        <w:t xml:space="preserve"> </w:t>
      </w:r>
      <w:r>
        <w:t xml:space="preserve">An unresolved cell feels like an unfinished job, so</w:t>
      </w:r>
      <w:r>
        <w:t xml:space="preserve"> </w:t>
      </w:r>
      <w:r>
        <w:t xml:space="preserve">somebody picks the more defensible-sounding grade to close it out -- and it flips on the next pass, and</w:t>
      </w:r>
      <w:r>
        <w:t xml:space="preserve"> </w:t>
      </w:r>
      <w:r>
        <w:t xml:space="preserve">the one after. Each flip consumes a full re-derivation and leaves the record looking unstable in a way</w:t>
      </w:r>
      <w:r>
        <w:t xml:space="preserve"> </w:t>
      </w:r>
      <w:r>
        <w:t xml:space="preserve">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 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</w:t>
      </w:r>
      <w:r>
        <w:t xml:space="preserve"> </w:t>
      </w:r>
      <w:r>
        <w:t xml:space="preserve">itself, and let the owner close genuinely 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</w:t>
      </w:r>
      <w:r>
        <w:t xml:space="preserve"> </w:t>
      </w:r>
      <w:r>
        <w:t xml:space="preserve">the reasoning preserved. Closure by decision is not amnesia; repeated re-litigation of the same cell</w:t>
      </w:r>
      <w:r>
        <w:t xml:space="preserve"> </w:t>
      </w:r>
      <w:r>
        <w:t xml:space="preserve">is not diligence.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t xml:space="preserve">Review naturally starts at the cited code, which is where a bad 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</w:t>
      </w:r>
      <w:r>
        <w:t xml:space="preserve"> </w:t>
      </w:r>
      <w:r>
        <w:t xml:space="preserve">and relevant, so the cell survives. Run a fixed, cheap pass in this order instead. Most bad cells die</w:t>
      </w:r>
      <w:r>
        <w:t xml:space="preserve"> </w:t>
      </w:r>
      <w:r>
        <w:t xml:space="preserve">at step 2 or 3, before any code is 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</w:p>
        </w:tc>
        <w:tc>
          <w:tcPr/>
          <w:p>
            <w:pPr>
              <w:pStyle w:val="Compact"/>
            </w:pPr>
            <w:r>
              <w:t xml:space="preserve">Vacuous greps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Budget roughly a minute per cell for this. It is the highest-yield activity in the entire exercise.</w:t>
      </w:r>
    </w:p>
    <w:bookmarkStart w:id="45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mode, because the thing that makes a bad cell</w:t>
      </w:r>
      <w:r>
        <w:t xml:space="preserve"> </w:t>
      </w:r>
      <w:r>
        <w:t xml:space="preserve">persuasive on paper -- fluent prose, a real path, a plausible token -- is exactly what a reader checks</w:t>
      </w:r>
      <w:r>
        <w:t xml:space="preserve"> </w:t>
      </w:r>
      <w:r>
        <w:t xml:space="preserve">against. 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45"/>
    <w:bookmarkStart w:id="46" w:name="budget-honestly"/>
    <w:p>
      <w:pPr>
        <w:pStyle w:val="Heading3"/>
      </w:pPr>
      <w:r>
        <w:t xml:space="preserve">Budget honestly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 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</w:t>
      </w:r>
      <w:r>
        <w:t xml:space="preserve"> </w:t>
      </w:r>
      <w:r>
        <w:t xml:space="preserve">rigour on a cell, because an unearned verdict is the entire defect the exercise exists to prevent.</w:t>
      </w:r>
      <w:r>
        <w:t xml:space="preserve"> </w:t>
      </w:r>
      <w:r>
        <w:t xml:space="preserve">A cheaper assessment that produces unearned passes has not saved anything; it has bought a document</w:t>
      </w:r>
      <w:r>
        <w:t xml:space="preserve"> </w:t>
      </w:r>
      <w:r>
        <w:t xml:space="preserve">that reads like an assessment.</w:t>
      </w:r>
    </w:p>
    <w:bookmarkEnd w:id="46"/>
    <w:bookmarkStart w:id="47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description, and the reader's confidence in the paragraph transfers to the absolute.</w:t>
      </w:r>
      <w:r>
        <w:t xml:space="preserve"> </w:t>
      </w:r>
      <w:r>
        <w:t xml:space="preserve">One file, opened, refutes it.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 And it was describing a mutation that a broad exception handler downstream</w:t>
      </w:r>
      <w:r>
        <w:t xml:space="preserve"> </w:t>
      </w:r>
      <w:r>
        <w:t xml:space="preserve">would have swallowed whole, changing no behavior at all.</w:t>
      </w:r>
      <w:r>
        <w:t xml:space="preserve"> </w:t>
      </w:r>
      <w:r>
        <w:rPr>
          <w:b/>
          <w:bCs/>
        </w:rPr>
        <w:t xml:space="preserve">The checker asserted that the pattern</w:t>
      </w:r>
      <w:r>
        <w:rPr>
          <w:b/>
          <w:bCs/>
        </w:rPr>
        <w:t xml:space="preserve"> </w:t>
      </w:r>
      <w:r>
        <w:rPr>
          <w:b/>
          <w:bCs/>
        </w:rPr>
        <w:t xml:space="preserve">matched the mutation string. It could not ask whether the mutation would bite.</w:t>
      </w:r>
      <w:r>
        <w:t xml:space="preserve"> </w:t>
      </w:r>
      <w:r>
        <w:t xml:space="preserve">Everything about the</w:t>
      </w:r>
      <w:r>
        <w:t xml:space="preserve"> </w:t>
      </w:r>
      <w:r>
        <w:t xml:space="preserve">control was valid except the thing it was for. When you design a reintroduction, ask not only "does</w:t>
      </w:r>
      <w:r>
        <w:t xml:space="preserve"> </w:t>
      </w:r>
      <w:r>
        <w:t xml:space="preserve">the pattern match this?" but 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The surrounding code now</w:t>
      </w:r>
      <w:r>
        <w:t xml:space="preserve"> </w:t>
      </w:r>
      <w:r>
        <w:t xml:space="preserve">means the opposite of what it meant, so the cell cites, as proof of a weakness, a line that sits</w:t>
      </w:r>
      <w:r>
        <w:t xml:space="preserve"> </w:t>
      </w:r>
      <w:r>
        <w:t xml:space="preserve">safely behind the new control. This is why re-anchoring is a content operation, not a 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most attractive carrier in the repository for</w:t>
      </w:r>
      <w:r>
        <w:t xml:space="preserve"> </w:t>
      </w:r>
      <w:r>
        <w:t xml:space="preserve">unrelated improvements: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 This is not bureaucratic: a "while I was in there" edit</w:t>
      </w:r>
      <w:r>
        <w:t xml:space="preserve"> </w:t>
      </w:r>
      <w:r>
        <w:t xml:space="preserve">riding in a compliance batch is a change nobody reviewed against any criterion at all, in the one</w:t>
      </w:r>
      <w:r>
        <w:t xml:space="preserve"> </w:t>
      </w:r>
      <w:r>
        <w:t xml:space="preserve">batch a reviewer is least likely to read 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first, and split each batch's</w:t>
      </w:r>
      <w:r>
        <w:t xml:space="preserve"> </w:t>
      </w:r>
      <w:r>
        <w:t xml:space="preserve">write-up for the reader: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Behavior changes that need operator action</w:t>
      </w:r>
      <w:r>
        <w:t xml:space="preserve"> </w:t>
      </w:r>
      <w:r>
        <w:t xml:space="preserve">-- anything that converts a warning into a refusal</w:t>
      </w:r>
      <w:r>
        <w:t xml:space="preserve"> </w:t>
      </w:r>
      <w:r>
        <w:t xml:space="preserve">belongs here, with its escape hatch named explicitly.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Purely additive changes</w:t>
      </w:r>
      <w:r>
        <w:t xml:space="preserve"> </w:t>
      </w:r>
      <w:r>
        <w:t xml:space="preserve">that need no action.</w:t>
      </w:r>
    </w:p>
    <w:bookmarkStart w:id="49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 and silently wrong a month later,</w:t>
      </w:r>
      <w:r>
        <w:t xml:space="preserve"> </w:t>
      </w:r>
      <w:r>
        <w:t xml:space="preserve">while still reading as authoritative. Enumerate from the code's own registry wherever one exists, so a</w:t>
      </w:r>
      <w:r>
        <w:t xml:space="preserve"> </w:t>
      </w:r>
      <w:r>
        <w:t xml:space="preserve">new module with no row</w:t>
      </w:r>
      <w:r>
        <w:t xml:space="preserve"> </w:t>
      </w:r>
      <w:r>
        <w:rPr>
          <w:b/>
          <w:bCs/>
        </w:rPr>
        <w:t xml:space="preserve">fails the build</w:t>
      </w:r>
      <w:r>
        <w:t xml:space="preserve">. Where no registry exists, curate the set explicitly, check</w:t>
      </w:r>
      <w:r>
        <w:t xml:space="preserve"> </w:t>
      </w:r>
      <w:r>
        <w:t xml:space="preserve">against the curated list, and 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</w:t>
      </w:r>
      <w:r>
        <w:t xml:space="preserve"> </w:t>
      </w:r>
      <w:r>
        <w:t xml:space="preserve">Prefer "at least" phrasing anywhere the guard does not reach. Widen the guard's trigger set when a</w:t>
      </w:r>
      <w:r>
        <w:t xml:space="preserve"> </w:t>
      </w:r>
      <w:r>
        <w:t xml:space="preserve">mechanism moves behind a seam -- a check that looks for direct use of known libraries goes blind the</w:t>
      </w:r>
      <w:r>
        <w:t xml:space="preserve"> </w:t>
      </w:r>
      <w:r>
        <w:t xml:space="preserve">moment the work is delegated to an internal wrapper or a network 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 Give each one a trigger condition, a dated review, and a named owner</w:t>
      </w:r>
      <w:r>
        <w:t xml:space="preserve"> </w:t>
      </w:r>
      <w:r>
        <w:t xml:space="preserve">role -- then put the plan itself 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change: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51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53"/>
    <w:bookmarkStart w:id="54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6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rule_fired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22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5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26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27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29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31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Every requirement is reported</w:t>
      </w:r>
      <w:r>
        <w:t xml:space="preserve">, not exceptions only -- an exceptions-only report hides the</w:t>
      </w:r>
      <w:r>
        <w:t xml:space="preserve"> </w:t>
      </w:r>
      <w:r>
        <w:t xml:space="preserve">denominator, and a reader cannot distinguish a thorough assessment from a shallow one.</w:t>
      </w:r>
    </w:p>
    <w:p>
      <w:pPr>
        <w:pStyle w:val="Compact"/>
        <w:numPr>
          <w:ilvl w:val="0"/>
          <w:numId w:val="1033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35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36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7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37"/>
        </w:numPr>
      </w:pPr>
      <w:hyperlink r:id="rId55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the same reasoning applied to this</w:t>
      </w:r>
      <w:r>
        <w:t xml:space="preserve"> </w:t>
      </w:r>
      <w:r>
        <w:t xml:space="preserve">repository's own controls: why an installed copy, not a source file, is the unit of audit, and why</w:t>
      </w:r>
      <w:r>
        <w:t xml:space="preserve"> </w:t>
      </w:r>
      <w:r>
        <w:t xml:space="preserve">that document deliberately contains no status table either.</w:t>
      </w:r>
    </w:p>
    <w:p>
      <w:pPr>
        <w:pStyle w:val="Compact"/>
        <w:numPr>
          <w:ilvl w:val="0"/>
          <w:numId w:val="1037"/>
        </w:numPr>
      </w:pPr>
      <w:hyperlink r:id="rId30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37"/>
        </w:numPr>
      </w:pPr>
      <w:hyperlink r:id="rId56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CASE-STUDY-drift-audit.md" TargetMode="External" /><Relationship Type="http://schemas.openxmlformats.org/officeDocument/2006/relationships/hyperlink" Id="rId56" Target="COORDINATION.md" TargetMode="External" /><Relationship Type="http://schemas.openxmlformats.org/officeDocument/2006/relationships/hyperlink" Id="rId30" Target="https://github.com/wshallwshall/claude-multisession/blob/main/bin/ccx-doctor.ps1" TargetMode="External" /><Relationship Type="http://schemas.openxmlformats.org/officeDocument/2006/relationships/hyperlink" Id="rId42" Target="https://github.com/wshallwshall/claude-multisession/blob/main/scripts/coord/alloc.ps1" TargetMode="External" /><Relationship Type="http://schemas.openxmlformats.org/officeDocument/2006/relationships/hyperlink" Id="rId40" Target="https://github.com/wshallwshall/claude-multisession/blob/main/scripts/coord/claim.ps1" TargetMode="External" /><Relationship Type="http://schemas.openxmlformats.org/officeDocument/2006/relationships/hyperlink" Id="rId41" Target="https://github.com/wshallwshall/claude-multisession/blob/main/scripts/hooks/claim_check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ASE-STUDY-drift-audit.md" TargetMode="External" /><Relationship Type="http://schemas.openxmlformats.org/officeDocument/2006/relationships/hyperlink" Id="rId56" Target="COORDINATION.md" TargetMode="External" /><Relationship Type="http://schemas.openxmlformats.org/officeDocument/2006/relationships/hyperlink" Id="rId30" Target="https://github.com/wshallwshall/claude-multisession/blob/main/bin/ccx-doctor.ps1" TargetMode="External" /><Relationship Type="http://schemas.openxmlformats.org/officeDocument/2006/relationships/hyperlink" Id="rId42" Target="https://github.com/wshallwshall/claude-multisession/blob/main/scripts/coord/alloc.ps1" TargetMode="External" /><Relationship Type="http://schemas.openxmlformats.org/officeDocument/2006/relationships/hyperlink" Id="rId40" Target="https://github.com/wshallwshall/claude-multisession/blob/main/scripts/coord/claim.ps1" TargetMode="External" /><Relationship Type="http://schemas.openxmlformats.org/officeDocument/2006/relationships/hyperlink" Id="rId41" Target="https://github.com/wshallwshall/claude-multisession/blob/main/scripts/hooks/claim_check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2026-08-06T02:30:32Z</dcterms:created>
  <dcterms:modified xsi:type="dcterms:W3CDTF">2026-08-06T02:30:32Z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