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odyText"/>
      </w:pPr>
      <w:r>
        <w:t xml:space="preserve">Two questions, one document.</w:t>
      </w:r>
      <w:r>
        <w:t xml:space="preserve"> </w:t>
      </w:r>
      <w:r>
        <w:rPr>
          <w:b/>
          <w:bCs/>
        </w:rPr>
        <w:t xml:space="preserve">Inbound:</w:t>
      </w:r>
      <w:r>
        <w:t xml:space="preserve"> </w:t>
      </w:r>
      <w:r>
        <w:t xml:space="preserve">you import code you did not write, cannot fully audit, and</w:t>
      </w:r>
      <w:r>
        <w:t xml:space="preserve"> </w:t>
      </w:r>
      <w:r>
        <w:t xml:space="preserve">that changes underneath you -- how do you control that without reading it?</w:t>
      </w:r>
      <w:r>
        <w:t xml:space="preserve"> </w:t>
      </w:r>
      <w:r>
        <w:rPr>
          <w:b/>
          <w:bCs/>
        </w:rPr>
        <w:t xml:space="preserve">Outbound:</w:t>
      </w:r>
      <w:r>
        <w:t xml:space="preserve"> </w:t>
      </w:r>
      <w:r>
        <w:t xml:space="preserve">you publish</w:t>
      </w:r>
      <w:r>
        <w:t xml:space="preserve"> </w:t>
      </w:r>
      <w:r>
        <w:t xml:space="preserve">a build that other people install -- how do they know it is the thing you meant to send, and how do</w:t>
      </w:r>
      <w:r>
        <w:t xml:space="preserve"> </w:t>
      </w:r>
      <w:r>
        <w:t xml:space="preserve">you know it contains only what you intended?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text: it drops straight</w:t>
      </w:r>
      <w:r>
        <w:t xml:space="preserve"> </w:t>
      </w:r>
      <w:r>
        <w:t xml:space="preserve">into a repository, diffs cleanly, and is the right thing to hand to Claude Code as context</w:t>
      </w:r>
      <w:r>
        <w:t xml:space="preserve"> </w:t>
      </w:r>
      <w:r>
        <w:t xml:space="preserve">when you want it applied to your own code. Prefer something to circulate or mark up?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All five files</w:t>
        </w:r>
      </w:hyperlink>
      <w:r>
        <w:t xml:space="preserve">.</w:t>
      </w:r>
    </w:p>
    <w:p>
      <w:pPr>
        <w:pStyle w:val="FirstParagraph"/>
      </w:pPr>
      <w:r>
        <w:t xml:space="preserve">The two halves share a shape. In both, the honest answer is not "review it harder". It is a small</w:t>
      </w:r>
      <w:r>
        <w:t xml:space="preserve"> </w:t>
      </w:r>
      <w:r>
        <w:t xml:space="preserve">number of machine-enforced controls, plus human attention spent at two or three specific moments</w:t>
      </w:r>
      <w:r>
        <w:t xml:space="preserve"> </w:t>
      </w:r>
      <w:r>
        <w:t xml:space="preserve">rather 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Third-party code is a</w:t>
      </w:r>
      <w:r>
        <w:t xml:space="preserve"> </w:t>
      </w:r>
      <w:r>
        <w:t xml:space="preserve">black box by definition. The controls below manage it as one -- identify, vet at adoption, test at</w:t>
      </w:r>
      <w:r>
        <w:t xml:space="preserve"> </w:t>
      </w:r>
      <w:r>
        <w:t xml:space="preserve">your own boundary, 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moments.</w:t>
      </w:r>
      <w:r>
        <w:t xml:space="preserve"> </w:t>
      </w:r>
      <w:r>
        <w:t xml:space="preserve">Adopting a dependency and bumping its version. A</w:t>
      </w:r>
      <w:r>
        <w:t xml:space="preserve"> </w:t>
      </w:r>
      <w:r>
        <w:t xml:space="preserve">few minutes of provenance work at adoption, a changelog-and-lock-delta read at each bump.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defence against a package name that looks right and is not.</w:t>
      </w:r>
      <w:r>
        <w:t xml:space="preserve"> </w:t>
      </w:r>
      <w:r>
        <w:t xml:space="preserve">Assistant-suggested imports make</w:t>
      </w:r>
      <w:r>
        <w:t xml:space="preserve"> </w:t>
      </w:r>
      <w:r>
        <w:t xml:space="preserve">plausible-but-fake names a routine hazard rather than an exotic one, and the same check that</w:t>
      </w:r>
      <w:r>
        <w:t xml:space="preserve"> </w:t>
      </w:r>
      <w:r>
        <w:t xml:space="preserve">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behaviour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 -- so an adopter</w:t>
      </w:r>
      <w:r>
        <w:t xml:space="preserve"> </w:t>
      </w:r>
      <w:r>
        <w:t xml:space="preserve">can 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behaviour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artefact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artefact.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is useful because it states the honest position. You are not</w:t>
      </w:r>
      <w:r>
        <w:t xml:space="preserve"> </w:t>
      </w:r>
      <w:r>
        <w:t xml:space="preserve">going to read your dependency tree. Nobody does. The discipline that follows from that never asks</w:t>
      </w:r>
      <w:r>
        <w:t xml:space="preserve"> </w:t>
      </w:r>
      <w:r>
        <w:t xml:space="preserve">you to; it asks you to manage each component as a black box.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licence;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behaviour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 That is what discharges the risk of not reading it, and it is where the adoption minutes</w:t>
      </w:r>
      <w:r>
        <w:t xml:space="preserve"> </w:t>
      </w:r>
      <w:r>
        <w:t xml:space="preserve">should go -- not into skimming internals, which produces the feeling of review without the 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judgement: is this the package I meant, is the project healthy</w:t>
      </w:r>
      <w:r>
        <w:t xml:space="preserve"> </w:t>
      </w:r>
      <w:r>
        <w:t xml:space="preserve">and maintained, is the licence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3e9aba9704e345891ec920b15f537dcb643fa89"/>
    <w:p>
      <w:pPr>
        <w:pStyle w:val="Heading3"/>
      </w:pPr>
      <w:r>
        <w:t xml:space="preserve">The hallucinated package, and why an assistant makes it routine</w:t>
      </w:r>
    </w:p>
    <w:p>
      <w:pPr>
        <w:pStyle w:val="FirstParagraph"/>
      </w:pPr>
      <w:r>
        <w:t xml:space="preserve">An assistant generates a plausible import the same way it generates plausible prose. A package name</w:t>
      </w:r>
      <w:r>
        <w:t xml:space="preserve"> </w:t>
      </w:r>
      <w:r>
        <w:t xml:space="preserve">that reads correctly, sits in the right namespace, and matches the shape of real names in that</w:t>
      </w:r>
      <w:r>
        <w:t xml:space="preserve"> </w:t>
      </w:r>
      <w:r>
        <w:t xml:space="preserve">ecosystem is exactly the output the model is good at producing -- and it is indistinguishable, at the</w:t>
      </w:r>
      <w:r>
        <w:t xml:space="preserve"> </w:t>
      </w:r>
      <w:r>
        <w:t xml:space="preserve">point of use, from a name that exists. That regularity is the attack surface: a name suggested often</w:t>
      </w:r>
      <w:r>
        <w:t xml:space="preserve"> </w:t>
      </w:r>
      <w:r>
        <w:t xml:space="preserve">enough can be registered by somebody else.</w:t>
      </w:r>
    </w:p>
    <w:p>
      <w:pPr>
        <w:pStyle w:val="BodyText"/>
      </w:pPr>
      <w:r>
        <w:t xml:space="preserve">The site already carries the rule, the gate shape and the published magnitude with its model-era</w:t>
      </w:r>
      <w:r>
        <w:t xml:space="preserve"> </w:t>
      </w:r>
      <w:r>
        <w:t xml:space="preserve">caveat, so it is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verification cannot see</w:t>
        </w:r>
      </w:hyperlink>
      <w:r>
        <w:t xml:space="preserve">.</w:t>
      </w:r>
    </w:p>
    <w:p>
      <w:pPr>
        <w:pStyle w:val="BodyText"/>
      </w:pPr>
      <w:r>
        <w:t xml:space="preserve">Two things worth adding at this document's altitude: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</w:t>
      </w:r>
      <w:r>
        <w:t xml:space="preserve"> </w:t>
      </w:r>
      <w:r>
        <w:t xml:space="preserve">an 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</w:t>
      </w:r>
      <w:r>
        <w:t xml:space="preserve"> </w:t>
      </w:r>
      <w:r>
        <w:t xml:space="preserve">A package that genuinely exists, publishes files, is years old and is served under its own</w:t>
      </w:r>
      <w:r>
        <w:t xml:space="preserve"> </w:t>
      </w:r>
      <w:r>
        <w:t xml:space="preserve">canonical name can still be a different project than the one intended, and it passes everything.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-- an explanation reached with assistance is acceptable, rubber-stamping is not, opaque</w:t>
      </w:r>
      <w:r>
        <w:t xml:space="preserve"> </w:t>
      </w:r>
      <w:r>
        <w:t xml:space="preserve">even with help is discarded, capture it durably -- is at</w:t>
      </w:r>
      <w:r>
        <w:t xml:space="preserve"> </w:t>
      </w:r>
      <w:hyperlink r:id="rId20">
        <w:r>
          <w:rPr>
            <w:rStyle w:val="Hyperlink"/>
          </w:rPr>
          <w:t xml:space="preserve">Reject code you cannot explain --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Code</w:t>
      </w:r>
      <w:r>
        <w:t xml:space="preserve"> </w:t>
      </w:r>
      <w:r>
        <w:rPr>
          <w:b/>
          <w:bCs/>
        </w:rPr>
        <w:t xml:space="preserve">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 for the</w:t>
      </w:r>
      <w:r>
        <w:t xml:space="preserve"> </w:t>
      </w:r>
      <w:r>
        <w:rPr>
          <w:i/>
          <w:iCs/>
        </w:rPr>
        <w:t xml:space="preserve">behaviour you depend on</w:t>
      </w:r>
      <w:r>
        <w:t xml:space="preserve">, which is what the table above enumerates.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worth carrying from the argument that produced the pragmatic bar, neither of which the</w:t>
      </w:r>
      <w:r>
        <w:t xml:space="preserve"> </w:t>
      </w:r>
      <w:r>
        <w:t xml:space="preserve">site states: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assistant's explanation can be confidently wrong in exactly the way its code can.</w:t>
      </w:r>
      <w:r>
        <w:t xml:space="preserve"> </w:t>
      </w:r>
      <w:r>
        <w:t xml:space="preserve">The human</w:t>
      </w:r>
      <w:r>
        <w:t xml:space="preserve"> </w:t>
      </w:r>
      <w:r>
        <w:t xml:space="preserve">verifies the explanation; accepting it is the rubber-stamp under a different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it breaks, you may not have the assistant in the loop.</w:t>
      </w:r>
      <w:r>
        <w:t xml:space="preserve"> </w:t>
      </w:r>
      <w:r>
        <w:t xml:space="preserve">That is the honest residual risk of</w:t>
      </w:r>
      <w:r>
        <w:t xml:space="preserve"> </w:t>
      </w:r>
      <w:r>
        <w:t xml:space="preserve">the pragmatic bar, and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FirstParagraph"/>
      </w:pPr>
      <w:r>
        <w:t xml:space="preserve">A cheap detector for drift on this rule: 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 Worse, it silently leaves the machinery: a vendored path is not in the lockfile, so the advisory</w:t>
      </w:r>
      <w:r>
        <w:t xml:space="preserve"> </w:t>
      </w:r>
      <w:r>
        <w:t xml:space="preserve">auditor never sees it, and static analysis configured for your first-party package skips the new</w:t>
      </w:r>
      <w:r>
        <w:t xml:space="preserve"> </w:t>
      </w:r>
      <w:r>
        <w:t xml:space="preserve">directory. Every dependency control reports green while covering nothing.</w:t>
      </w:r>
    </w:p>
    <w:p>
      <w:pPr>
        <w:pStyle w:val="BodyText"/>
      </w:pPr>
      <w:r>
        <w:t xml:space="preserve">This is the sibling-path 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 behaviour tests over the vendored surface; a header in each file recording what it</w:t>
      </w:r>
      <w:r>
        <w:t xml:space="preserve"> </w:t>
      </w:r>
      <w:r>
        <w:t xml:space="preserve">mirrors and why, so drift is reviewable; and analysis scope extended to include the path, with any</w:t>
      </w:r>
      <w:r>
        <w:t xml:space="preserve"> </w:t>
      </w:r>
      <w:r>
        <w:t xml:space="preserve">suppression carrying a per-line justification that names the rule. Record the trade-off that</w:t>
      </w:r>
      <w:r>
        <w:t xml:space="preserve"> </w:t>
      </w:r>
      <w:r>
        <w:t xml:space="preserve">justified vendoring and the concrete trigger that would reverse it, so the decision is revisitable</w:t>
      </w:r>
      <w:r>
        <w:t xml:space="preserve"> </w:t>
      </w:r>
      <w:r>
        <w:t xml:space="preserve">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</w:t>
      </w:r>
      <w:r>
        <w:t xml:space="preserve"> </w:t>
      </w:r>
      <w:r>
        <w:t xml:space="preserve">dependency tree grows a tree that nothing watches -- while the dashboard still says the repository is</w:t>
      </w:r>
      <w:r>
        <w:t xml:space="preserve"> </w:t>
      </w:r>
      <w:r>
        <w:t xml:space="preserve">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 Prefer one check that fails when a manifest exists with no corresponding audit entry,</w:t>
      </w:r>
      <w:r>
        <w:t xml:space="preserve"> </w:t>
      </w:r>
      <w:r>
        <w:t xml:space="preserve">so the parity is deterministic rather than a recurring manual sweep. Triage a transitive advisory by</w:t>
      </w:r>
      <w:r>
        <w:t xml:space="preserve"> </w:t>
      </w:r>
      <w:r>
        <w:t xml:space="preserve">pinning it out 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exposure, and that difference is</w:t>
      </w:r>
      <w:r>
        <w:t xml:space="preserve"> </w:t>
      </w:r>
      <w:r>
        <w:t xml:space="preserve">worth stating when you triage. It is not a reason to leave the tree unsurveilled: the build tooling</w:t>
      </w:r>
      <w:r>
        <w:t xml:space="preserve"> </w:t>
      </w:r>
      <w:r>
        <w:t xml:space="preserve">is the 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The general principle is two sentences, and both halves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artefact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artefact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half-measure: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8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8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8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 a restricted network posture, authentication required, no outbound path for</w:t>
      </w:r>
      <w:r>
        <w:t xml:space="preserve"> </w:t>
      </w:r>
      <w:r>
        <w:t xml:space="preserve">sensitive data, and every inbound payload treated as untrusted -- validated for structure and content</w:t>
      </w:r>
      <w:r>
        <w:t xml:space="preserve"> </w:t>
      </w:r>
      <w:r>
        <w:t xml:space="preserve">before it reaches a query, a file path, a subprocess, or a downstream request.</w:t>
      </w:r>
    </w:p>
    <w:p>
      <w:pPr>
        <w:pStyle w:val="BodyText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utbound-what-you-publish"/>
    <w:p>
      <w:pPr>
        <w:pStyle w:val="Heading2"/>
      </w:pPr>
      <w:r>
        <w:t xml:space="preserve">Outbound: what you publish</w:t>
      </w:r>
    </w:p>
    <w:bookmarkStart w:id="31" w:name="X7402632762061f44470a339c6e55da4a85e9119"/>
    <w:p>
      <w:pPr>
        <w:pStyle w:val="Heading3"/>
      </w:pPr>
      <w:r>
        <w:t xml:space="preserve">The artefact contains only what you declared</w:t>
      </w:r>
    </w:p>
    <w:p>
      <w:pPr>
        <w:pStyle w:val="FirstParagraph"/>
      </w:pPr>
      <w:r>
        <w:t xml:space="preserve">Covered in 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 One</w:t>
      </w:r>
      <w:r>
        <w:t xml:space="preserve"> </w:t>
      </w:r>
      <w:r>
        <w:t xml:space="preserve">instance worth naming here, because it is the case people assume cannot happen:</w:t>
      </w:r>
      <w:r>
        <w:t xml:space="preserve"> </w:t>
      </w:r>
      <w:r>
        <w:rPr>
          <w:b/>
          <w:bCs/>
        </w:rPr>
        <w:t xml:space="preserve">material a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treats as withheld can travel inside a published distribution</w:t>
      </w:r>
      <w:r>
        <w:t xml:space="preserve"> </w:t>
      </w:r>
      <w:r>
        <w:t xml:space="preserve">without anyone reviewing the</w:t>
      </w:r>
      <w:r>
        <w:t xml:space="preserve"> </w:t>
      </w:r>
      <w:r>
        <w:t xml:space="preserve">packaging list, because the packaging list was written as an exclusion and the material was added</w:t>
      </w:r>
      <w:r>
        <w:t xml:space="preserve"> </w:t>
      </w:r>
      <w:r>
        <w:t xml:space="preserve">later. Checking the thing you built is not checking the thing that shipped.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</w:t>
      </w:r>
      <w:r>
        <w:t xml:space="preserve"> </w:t>
      </w:r>
      <w:r>
        <w:t xml:space="preserve">trigger that grants write credentials to code from an untrusted contributor. Pin the publishing</w:t>
      </w:r>
      <w:r>
        <w:t xml:space="preserve"> </w:t>
      </w:r>
      <w:r>
        <w:t xml:space="preserve">action.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 does not defend against takeover of the publishing account.</w:t>
      </w:r>
      <w:r>
        <w:t xml:space="preserve"> </w:t>
      </w:r>
      <w:r>
        <w:t xml:space="preserve">Multi-factor on the account and</w:t>
      </w:r>
      <w:r>
        <w:t xml:space="preserve"> </w:t>
      </w:r>
      <w:r>
        <w:t xml:space="preserve">environment protection rules are what cover that, and they are a different control.</w:t>
      </w:r>
    </w:p>
    <w:p>
      <w:pPr>
        <w:pStyle w:val="FirstParagraph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c32f0086e02b279e044641ed362e84a31be3d85"/>
    <w:p>
      <w:pPr>
        <w:pStyle w:val="Heading3"/>
      </w:pPr>
      <w:r>
        <w:t xml:space="preserve">Publishing identity does not cover the artefact</w:t>
      </w:r>
    </w:p>
    <w:p>
      <w:pPr>
        <w:pStyle w:val="FirstParagraph"/>
      </w:pPr>
      <w:r>
        <w:t xml:space="preserve">Establishing that an upload came from your pipeline says nothing about whether the artefact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it, recorded in a</w:t>
      </w:r>
      <w:r>
        <w:t xml:space="preserve"> </w:t>
      </w:r>
      <w:r>
        <w:t xml:space="preserve">public transparency log and served by the registry -- so a consumer can check it without contacting</w:t>
      </w:r>
      <w:r>
        <w:t xml:space="preserve"> </w:t>
      </w:r>
      <w:r>
        <w:t xml:space="preserve">you. Neither half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artefacts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 Signing repository tags</w:t>
      </w:r>
      <w:r>
        <w:t xml:space="preserve"> </w:t>
      </w:r>
      <w:r>
        <w:t xml:space="preserve">and commits remains worthwhile for source provenance -- it is the</w:t>
      </w:r>
      <w:r>
        <w:t xml:space="preserve"> </w:t>
      </w:r>
      <w:r>
        <w:rPr>
          <w:i/>
          <w:iCs/>
        </w:rPr>
        <w:t xml:space="preserve">artefact</w:t>
      </w:r>
      <w:r>
        <w:t xml:space="preserve"> </w:t>
      </w:r>
      <w:r>
        <w:t xml:space="preserve">signature path that this</w:t>
      </w:r>
      <w:r>
        <w:t xml:space="preserve"> </w:t>
      </w:r>
      <w:r>
        <w:t xml:space="preserve">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artefacts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further, and the published build-level frameworks</w:t>
      </w:r>
      <w:r>
        <w:t xml:space="preserve"> </w:t>
      </w:r>
      <w:r>
        <w:t xml:space="preserve">are 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artefact, bundle it, for the same reason.</w:t>
      </w:r>
    </w:p>
    <w:p>
      <w:pPr>
        <w:pStyle w:val="BodyText"/>
      </w:pPr>
      <w:r>
        <w:t xml:space="preserve">Keyless, identity-based signing removes long-lived key management, which is a real win. Be clear</w:t>
      </w:r>
      <w:r>
        <w:t xml:space="preserve"> </w:t>
      </w:r>
      <w:r>
        <w:t xml:space="preserve">about what it does to the threat model rather than what it removes from it:</w:t>
      </w:r>
      <w:r>
        <w:t xml:space="preserve"> </w:t>
      </w:r>
      <w:r>
        <w:rPr>
          <w:b/>
          <w:bCs/>
        </w:rPr>
        <w:t xml:space="preserve">you are no longer</w:t>
      </w:r>
      <w:r>
        <w:rPr>
          <w:b/>
          <w:bCs/>
        </w:rPr>
        <w:t xml:space="preserve"> </w:t>
      </w:r>
      <w:r>
        <w:rPr>
          <w:b/>
          <w:bCs/>
        </w:rPr>
        <w:t xml:space="preserve">protecting a key, you are protecting the pipeline identity.</w:t>
      </w:r>
      <w:r>
        <w:t xml:space="preserve"> </w:t>
      </w:r>
      <w:r>
        <w:t xml:space="preserve">Account multi-factor, branch protection</w:t>
      </w:r>
      <w:r>
        <w:t xml:space="preserve"> </w:t>
      </w:r>
      <w:r>
        <w:t xml:space="preserve">and pipeline hardening become the load-bearing controls. A project that adopts keyless signing and</w:t>
      </w:r>
      <w:r>
        <w:t xml:space="preserve"> </w:t>
      </w:r>
      <w:r>
        <w:t xml:space="preserve">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 It buys at least: answering</w:t>
      </w:r>
      <w:r>
        <w:t xml:space="preserve"> </w:t>
      </w:r>
      <w:r>
        <w:rPr>
          <w:i/>
          <w:iCs/>
        </w:rPr>
        <w:t xml:space="preserve">do we ship</w:t>
      </w:r>
      <w:r>
        <w:rPr>
          <w:i/>
          <w:iCs/>
        </w:rPr>
        <w:t xml:space="preserve"> </w:t>
      </w:r>
      <w:r>
        <w:rPr>
          <w:i/>
          <w:iCs/>
        </w:rPr>
        <w:t xml:space="preserve">component X</w:t>
      </w:r>
      <w:r>
        <w:t xml:space="preserve"> </w:t>
      </w:r>
      <w:r>
        <w:t xml:space="preserve">within minutes of a widely publicised advisory; drift detection, by diffing a produced</w:t>
      </w:r>
      <w:r>
        <w:t xml:space="preserve"> </w:t>
      </w:r>
      <w:r>
        <w:t xml:space="preserve">inventory against the intended manifest; and satisfying procurement reviews that ask for one.</w:t>
      </w:r>
    </w:p>
    <w:p>
      <w:pPr>
        <w:pStyle w:val="BodyText"/>
      </w:pPr>
      <w:r>
        <w:t xml:space="preserve">It does not detect tampering with your own code. Nothing about it is a signature.</w:t>
      </w:r>
    </w:p>
    <w:bookmarkEnd w:id="36"/>
    <w:bookmarkStart w:id="37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artefact,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artefact answers neither.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39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artefact protects nothing that</w:t>
      </w:r>
      <w:r>
        <w:t xml:space="preserve"> </w:t>
      </w:r>
      <w:r>
        <w:t xml:space="preserve">matters. There is no confidentiality to preserve, and the tamper resistance gained is marginal:</w:t>
      </w:r>
      <w:r>
        <w:t xml:space="preserve"> </w:t>
      </w:r>
      <w:r>
        <w:t xml:space="preserve">bytecode-only distribution is decompiled and patched by public tooling; native compilation raises the</w:t>
      </w:r>
      <w:r>
        <w:t xml:space="preserve"> </w:t>
      </w:r>
      <w:r>
        <w:t xml:space="preserve">bar but leaks identifier and symbol information by default and the binary remains patchable with</w:t>
      </w:r>
      <w:r>
        <w:t xml:space="preserve"> </w:t>
      </w:r>
      <w:r>
        <w:t xml:space="preserve">standard tools; self-extracting single-file bundles leave their contents on disk for inspection --</w:t>
      </w:r>
      <w:r>
        <w:t xml:space="preserve"> </w:t>
      </w:r>
      <w:r>
        <w:t xml:space="preserve">which the tools' own documentation concedes. 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</w:t>
      </w:r>
      <w:r>
        <w:t xml:space="preserve"> </w:t>
      </w:r>
      <w:r>
        <w:t xml:space="preserve">they protect assume an uncompromised runtime, and that is precisely the assumption a privileged</w:t>
      </w:r>
      <w:r>
        <w:t xml:space="preserve"> </w:t>
      </w:r>
      <w:r>
        <w:t xml:space="preserve">attacker breaks.</w:t>
      </w:r>
    </w:p>
    <w:p>
      <w:pPr>
        <w:pStyle w:val="BodyText"/>
      </w:pPr>
      <w:r>
        <w:t xml:space="preserve">Where a licence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authorisation decisions out of any artefact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39"/>
    <w:bookmarkStart w:id="41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 The chain of trust only terminates</w:t>
      </w:r>
      <w:r>
        <w:t xml:space="preserve"> </w:t>
      </w:r>
      <w:r>
        <w:t xml:space="preserve">in hardware measured boot, which is the operator's platform decision and not something your software</w:t>
      </w:r>
      <w:r>
        <w:t xml:space="preserve"> </w:t>
      </w:r>
      <w:r>
        <w:t xml:space="preserve">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defence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1"/>
    <w:bookmarkStart w:id="43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 file-integrity monitoring against a baseline;</w:t>
      </w:r>
      <w:r>
        <w:t xml:space="preserve"> </w:t>
      </w:r>
      <w:r>
        <w:t xml:space="preserve">immutable or read-only deployment with writable state confined to the data store; least-privilege</w:t>
      </w:r>
      <w:r>
        <w:t xml:space="preserve"> </w:t>
      </w:r>
      <w:r>
        <w:t xml:space="preserve">file ownership, so the running account cannot rewrite its own code; mandatory-access-control</w:t>
      </w:r>
      <w:r>
        <w:t xml:space="preserve"> </w:t>
      </w:r>
      <w:r>
        <w:t xml:space="preserve">confinement; and admission control that rejects an unsigned artefact.</w:t>
      </w:r>
    </w:p>
    <w:p>
      <w:pPr>
        <w:pStyle w:val="BodyText"/>
      </w:pPr>
      <w:r>
        <w:t xml:space="preserve">You cannot own any of them. What you can do is ship a hardening guide with a concrete list of paths</w:t>
      </w:r>
      <w:r>
        <w:t xml:space="preserve"> </w:t>
      </w:r>
      <w:r>
        <w:t xml:space="preserve">to monitor and example rules, so an operator has something to apply on day one rather than a category</w:t>
      </w:r>
      <w:r>
        <w:t xml:space="preserve"> </w:t>
      </w:r>
      <w:r>
        <w:t xml:space="preserve">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control: what the producing</w:t>
      </w:r>
      <w:r>
        <w:t xml:space="preserve"> </w:t>
      </w:r>
      <w:r>
        <w:t xml:space="preserve">project owns (secure development practice, secure-by-default configuration, testing and attestation</w:t>
      </w:r>
      <w:r>
        <w:t xml:space="preserve"> </w:t>
      </w:r>
      <w:r>
        <w:t xml:space="preserve">of the software, vulnerability response, evidence) and what the operating organisation owns (host and</w:t>
      </w:r>
      <w:r>
        <w:t xml:space="preserve"> </w:t>
      </w:r>
      <w:r>
        <w:t xml:space="preserve">network, identity and key management in their environment, backups and availability, their own</w:t>
      </w:r>
      <w:r>
        <w:t xml:space="preserve"> </w:t>
      </w:r>
      <w:r>
        <w:t xml:space="preserve">compliance programme, monitoring and patching). State plainly that shipping the software confers no</w:t>
      </w:r>
      <w:r>
        <w:t xml:space="preserve"> </w:t>
      </w:r>
      <w:r>
        <w:t xml:space="preserve">certification on the operator: your attestation is an input to their assessment, never a substitute</w:t>
      </w:r>
      <w:r>
        <w:t xml:space="preserve"> </w:t>
      </w:r>
      <w:r>
        <w:t xml:space="preserve">for it. The register to use for that wording is on the site already -- built to, aligned with,</w:t>
      </w:r>
      <w:r>
        <w:t xml:space="preserve"> </w:t>
      </w:r>
      <w:r>
        <w:t xml:space="preserve">self-assessed against, never certified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3"/>
    <w:bookmarkStart w:id="44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artefacts failing verification will also reject valid artefacts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 -- for instance when the enforcing component cannot reach the store</w:t>
      </w:r>
      <w:r>
        <w:t xml:space="preserve"> </w:t>
      </w:r>
      <w:r>
        <w:t xml:space="preserve">holding 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4"/>
    <w:bookmarkStart w:id="45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behaviour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generalise.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behaviour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artefact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forge-specific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 release,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artefact,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47"/>
    <w:bookmarkStart w:id="48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behaviour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artefact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artefact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54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our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CASE-STUDY-drift-audit.md" TargetMode="External" /><Relationship Type="http://schemas.openxmlformats.org/officeDocument/2006/relationships/hyperlink" Id="rId51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0" Target="../CI-AND-STANDARDS.md#state-what-a-gate-does-not-prove" TargetMode="External" /><Relationship Type="http://schemas.openxmlformats.org/officeDocument/2006/relationships/hyperlink" Id="rId42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2" Target="../LEAK-GATE.md" TargetMode="External" /><Relationship Type="http://schemas.openxmlformats.org/officeDocument/2006/relationships/hyperlink" Id="rId49" Target="../LEAK-GATE.md#the-caveat-that-matters-most" TargetMode="External" /><Relationship Type="http://schemas.openxmlformats.org/officeDocument/2006/relationships/hyperlink" Id="rId53" Target="../TIPS-AND-TRICKS.md" TargetMode="External" /><Relationship Type="http://schemas.openxmlformats.org/officeDocument/2006/relationships/hyperlink" Id="rId11" Target="OVERVIEW.md#the-four-files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2026-08-05T23:07:05Z</dcterms:created>
  <dcterms:modified xsi:type="dcterms:W3CDTF">2026-08-05T23:07:05Z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