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odyText"/>
      </w:pPr>
      <w:r>
        <w:t xml:space="preserve">Two questions, one document.</w:t>
      </w:r>
      <w:r>
        <w:t xml:space="preserve"> </w:t>
      </w:r>
      <w:r>
        <w:rPr>
          <w:b/>
          <w:bCs/>
        </w:rPr>
        <w:t xml:space="preserve">Inbound:</w:t>
      </w:r>
      <w:r>
        <w:t xml:space="preserve"> </w:t>
      </w:r>
      <w:r>
        <w:t xml:space="preserve">you import code you did not write, cannot fully audit, and</w:t>
      </w:r>
      <w:r>
        <w:t xml:space="preserve"> </w:t>
      </w:r>
      <w:r>
        <w:t xml:space="preserve">that changes underneath you -- how do you control that without reading it?</w:t>
      </w:r>
      <w:r>
        <w:t xml:space="preserve"> </w:t>
      </w:r>
      <w:r>
        <w:rPr>
          <w:b/>
          <w:bCs/>
        </w:rPr>
        <w:t xml:space="preserve">Outbound:</w:t>
      </w:r>
      <w:r>
        <w:t xml:space="preserve"> </w:t>
      </w:r>
      <w:r>
        <w:t xml:space="preserve">you publish</w:t>
      </w:r>
      <w:r>
        <w:t xml:space="preserve"> </w:t>
      </w:r>
      <w:r>
        <w:t xml:space="preserve">a build that other people install -- how do they know it is the thing you meant to send, and how do</w:t>
      </w:r>
      <w:r>
        <w:t xml:space="preserve"> </w:t>
      </w:r>
      <w:r>
        <w:t xml:space="preserve">you know it contains only what you intended?</w:t>
      </w:r>
    </w:p>
    <w:p>
      <w:pPr>
        <w:pStyle w:val="BlockText"/>
      </w:pPr>
      <w:r>
        <w:rPr>
          <w:b/>
          <w:bCs/>
        </w:rPr>
        <w:t xml:space="preserve">This one is dense.</w:t>
      </w:r>
      <w:r>
        <w:t xml:space="preserve"> </w:t>
      </w:r>
      <w:r>
        <w:t xml:space="preserve">Reading it end to end works, and you will need to eventually -- it</w:t>
      </w:r>
      <w:r>
        <w:t xml:space="preserve"> </w:t>
      </w:r>
      <w:r>
        <w:t xml:space="preserve">becomes your standard once you adopt it. It is usually faster to hand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to Claude Code, or</w:t>
      </w:r>
      <w:r>
        <w:t xml:space="preserve"> </w:t>
      </w:r>
      <w:r>
        <w:t xml:space="preserve">another AI-assisted coding tool, and ask it to summarize this against your repository,</w:t>
      </w:r>
      <w:r>
        <w:t xml:space="preserve"> </w:t>
      </w:r>
      <w:r>
        <w:t xml:space="preserve">rewrite a section in plainer terms, or answer what already holds here and what would have to</w:t>
      </w:r>
      <w:r>
        <w:t xml:space="preserve"> </w:t>
      </w:r>
      <w:r>
        <w:t xml:space="preserve">change.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The two halves share a shape. In both, the honest answer is not "review it harder". It is a small</w:t>
      </w:r>
      <w:r>
        <w:t xml:space="preserve"> </w:t>
      </w:r>
      <w:r>
        <w:t xml:space="preserve">number of machine-enforced controls, plus human attention spent at two or three specific moments</w:t>
      </w:r>
      <w:r>
        <w:t xml:space="preserve"> </w:t>
      </w:r>
      <w:r>
        <w:t xml:space="preserve">rather 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Third-party code is a</w:t>
      </w:r>
      <w:r>
        <w:t xml:space="preserve"> </w:t>
      </w:r>
      <w:r>
        <w:t xml:space="preserve">black box by definition. The controls below manage it as one -- identify, vet at adoption, test at</w:t>
      </w:r>
      <w:r>
        <w:t xml:space="preserve"> </w:t>
      </w:r>
      <w:r>
        <w:t xml:space="preserve">your own boundary, 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moments.</w:t>
      </w:r>
      <w:r>
        <w:t xml:space="preserve"> </w:t>
      </w:r>
      <w:r>
        <w:t xml:space="preserve">Adopting a dependency and bumping its version. A</w:t>
      </w:r>
      <w:r>
        <w:t xml:space="preserve"> </w:t>
      </w:r>
      <w:r>
        <w:t xml:space="preserve">few minutes of provenance work at adoption, a changelog-and-lock-delta read at each bump.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defense against a package name that looks right and is not.</w:t>
      </w:r>
      <w:r>
        <w:t xml:space="preserve"> </w:t>
      </w:r>
      <w:r>
        <w:t xml:space="preserve">Assistant-suggested imports make</w:t>
      </w:r>
      <w:r>
        <w:t xml:space="preserve"> </w:t>
      </w:r>
      <w:r>
        <w:t xml:space="preserve">plausible-but-fake names a routine hazard rather than an exotic one, and the same check that</w:t>
      </w:r>
      <w:r>
        <w:t xml:space="preserve"> </w:t>
      </w:r>
      <w:r>
        <w:t xml:space="preserve">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 -- so an adopter</w:t>
      </w:r>
      <w:r>
        <w:t xml:space="preserve"> </w:t>
      </w:r>
      <w:r>
        <w:t xml:space="preserve">can 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is useful because it states the honest position. You are not</w:t>
      </w:r>
      <w:r>
        <w:t xml:space="preserve"> </w:t>
      </w:r>
      <w:r>
        <w:t xml:space="preserve">going to read your dependency tree. Nobody does. The discipline that follows from that never asks</w:t>
      </w:r>
      <w:r>
        <w:t xml:space="preserve"> </w:t>
      </w:r>
      <w:r>
        <w:t xml:space="preserve">you to; it asks you to manage each component as a black box.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 That is what discharges the risk of not reading it, and it is where the adoption minutes</w:t>
      </w:r>
      <w:r>
        <w:t xml:space="preserve"> </w:t>
      </w:r>
      <w:r>
        <w:t xml:space="preserve">should go -- not into skimming internals, which produces the feeling of review without the 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3e9aba9704e345891ec920b15f537dcb643fa89"/>
    <w:p>
      <w:pPr>
        <w:pStyle w:val="Heading3"/>
      </w:pPr>
      <w:r>
        <w:t xml:space="preserve">The hallucinated package, and why an assistant makes it routine</w:t>
      </w:r>
    </w:p>
    <w:p>
      <w:pPr>
        <w:pStyle w:val="FirstParagraph"/>
      </w:pPr>
      <w:r>
        <w:t xml:space="preserve">An AI coding tool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</w:t>
      </w:r>
      <w:r>
        <w:t xml:space="preserve"> </w:t>
      </w:r>
      <w:r>
        <w:t xml:space="preserve">names in that ecosystem is exactly the output the model is good at producing. And it is</w:t>
      </w:r>
      <w:r>
        <w:t xml:space="preserve"> </w:t>
      </w:r>
      <w:r>
        <w:t xml:space="preserve">indistinguishable, at the point of use, from a name that exists. That regularity is the attack</w:t>
      </w:r>
      <w:r>
        <w:t xml:space="preserve"> </w:t>
      </w:r>
      <w:r>
        <w:t xml:space="preserve">surface: a name suggested often enough can be registered by somebody else.</w:t>
      </w:r>
    </w:p>
    <w:p>
      <w:pPr>
        <w:pStyle w:val="BodyText"/>
      </w:pPr>
      <w:r>
        <w:t xml:space="preserve">The site already carries the rule, the gate shape and the published magnitude with its model-era</w:t>
      </w:r>
      <w:r>
        <w:t xml:space="preserve"> </w:t>
      </w:r>
      <w:r>
        <w:t xml:space="preserve">caveat, so it is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verification cannot see</w:t>
        </w:r>
      </w:hyperlink>
      <w:r>
        <w:t xml:space="preserve">.</w:t>
      </w:r>
    </w:p>
    <w:p>
      <w:pPr>
        <w:pStyle w:val="BodyText"/>
      </w:pPr>
      <w:r>
        <w:t xml:space="preserve">Two things worth adding at this document's altitude: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</w:t>
      </w:r>
      <w:r>
        <w:t xml:space="preserve"> </w:t>
      </w:r>
      <w:r>
        <w:t xml:space="preserve">an 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</w:t>
      </w:r>
      <w:r>
        <w:t xml:space="preserve"> </w:t>
      </w:r>
      <w:r>
        <w:t xml:space="preserve">A package that genuinely exists, publishes files, is years old and is served under its own</w:t>
      </w:r>
      <w:r>
        <w:t xml:space="preserve"> </w:t>
      </w:r>
      <w:r>
        <w:t xml:space="preserve">canonical name can still be a different project than the one intended, and it passes everything.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-- an explanation reached with assistance is acceptable, rubber-stamping is not, opaque</w:t>
      </w:r>
      <w:r>
        <w:t xml:space="preserve"> </w:t>
      </w:r>
      <w:r>
        <w:t xml:space="preserve">even with help is discarded, capture it durably -- is at</w:t>
      </w:r>
      <w:r>
        <w:t xml:space="preserve"> </w:t>
      </w:r>
      <w:hyperlink r:id="rId20">
        <w:r>
          <w:rPr>
            <w:rStyle w:val="Hyperlink"/>
          </w:rPr>
          <w:t xml:space="preserve">Reject code you cannot explain --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 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worth carrying from the argument that produced the pragmatic bar, neither of which the</w:t>
      </w:r>
      <w:r>
        <w:t xml:space="preserve"> </w:t>
      </w:r>
      <w:r>
        <w:t xml:space="preserve">site states: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AI coding tool's explanation can be confidently wrong in exactly the way its code can.</w:t>
      </w:r>
      <w:r>
        <w:t xml:space="preserve"> </w:t>
      </w:r>
      <w:r>
        <w:t xml:space="preserve">The human</w:t>
      </w:r>
      <w:r>
        <w:t xml:space="preserve"> </w:t>
      </w:r>
      <w:r>
        <w:t xml:space="preserve">verifies the explanation; accepting it is the rubber-stamp under a different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it breaks, you may not have the AI coding tool in the loop.</w:t>
      </w:r>
      <w:r>
        <w:t xml:space="preserve"> </w:t>
      </w:r>
      <w:r>
        <w:t xml:space="preserve">That is the honest residual risk of</w:t>
      </w:r>
      <w:r>
        <w:t xml:space="preserve"> </w:t>
      </w:r>
      <w:r>
        <w:t xml:space="preserve">the pragmatic bar, and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FirstParagraph"/>
      </w:pPr>
      <w:r>
        <w:t xml:space="preserve">A cheap detector for drift on this rule: 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 Worse, it silently leaves the machinery: a vendored path is not in the lockfile, so the advisory</w:t>
      </w:r>
      <w:r>
        <w:t xml:space="preserve"> </w:t>
      </w:r>
      <w:r>
        <w:t xml:space="preserve">auditor never sees it, and static analysis configured for your first-party package skips the new</w:t>
      </w:r>
      <w:r>
        <w:t xml:space="preserve"> </w:t>
      </w:r>
      <w:r>
        <w:t xml:space="preserve">directory. Every dependency control reports green while covering nothing.</w:t>
      </w:r>
    </w:p>
    <w:p>
      <w:pPr>
        <w:pStyle w:val="BodyText"/>
      </w:pPr>
      <w:r>
        <w:t xml:space="preserve">This is the sibling-path 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8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8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8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</w:t>
      </w:r>
      <w:r>
        <w:t xml:space="preserve"> </w:t>
      </w:r>
      <w:r>
        <w:t xml:space="preserve">dependency tree grows a tree that nothing watches -- while the dashboard still says the repository is</w:t>
      </w:r>
      <w:r>
        <w:t xml:space="preserve"> </w:t>
      </w:r>
      <w:r>
        <w:t xml:space="preserve">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 Prefer one check that fails when a manifest exists with no corresponding audit entry,</w:t>
      </w:r>
      <w:r>
        <w:t xml:space="preserve"> </w:t>
      </w:r>
      <w:r>
        <w:t xml:space="preserve">so the parity is deterministic rather than a recurring manual sweep. Triage a transitive advisory by</w:t>
      </w:r>
      <w:r>
        <w:t xml:space="preserve"> </w:t>
      </w:r>
      <w:r>
        <w:t xml:space="preserve">pinning it out 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exposure, and that difference is</w:t>
      </w:r>
      <w:r>
        <w:t xml:space="preserve"> </w:t>
      </w:r>
      <w:r>
        <w:t xml:space="preserve">worth stating when you triage. It is not a reason to leave the tree unsurveilled: the build tooling</w:t>
      </w:r>
      <w:r>
        <w:t xml:space="preserve"> </w:t>
      </w:r>
      <w:r>
        <w:t xml:space="preserve">is the 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The general principle is two sentences, and both halves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half-measure: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9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9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9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11"/>
        </w:numPr>
      </w:pPr>
      <w:r>
        <w:t xml:space="preserve">a restricted network posture</w:t>
      </w:r>
    </w:p>
    <w:p>
      <w:pPr>
        <w:pStyle w:val="Compact"/>
        <w:numPr>
          <w:ilvl w:val="0"/>
          <w:numId w:val="1011"/>
        </w:numPr>
      </w:pPr>
      <w:r>
        <w:t xml:space="preserve">authentication required</w:t>
      </w:r>
    </w:p>
    <w:p>
      <w:pPr>
        <w:pStyle w:val="Compact"/>
        <w:numPr>
          <w:ilvl w:val="0"/>
          <w:numId w:val="1011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11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Covered in 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 One</w:t>
      </w:r>
      <w:r>
        <w:t xml:space="preserve"> </w:t>
      </w:r>
      <w:r>
        <w:t xml:space="preserve">instance worth naming here, because it is the case people assume cannot happen:</w:t>
      </w:r>
      <w:r>
        <w:t xml:space="preserve"> </w:t>
      </w:r>
      <w:r>
        <w:rPr>
          <w:b/>
          <w:bCs/>
        </w:rPr>
        <w:t xml:space="preserve">material a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treats as withheld can travel inside a published distribution</w:t>
      </w:r>
      <w:r>
        <w:t xml:space="preserve"> </w:t>
      </w:r>
      <w:r>
        <w:t xml:space="preserve">without anyone reviewing the</w:t>
      </w:r>
      <w:r>
        <w:t xml:space="preserve"> </w:t>
      </w:r>
      <w:r>
        <w:t xml:space="preserve">packaging list. That is because the packaging list was written as an exclusion and the material was</w:t>
      </w:r>
      <w:r>
        <w:t xml:space="preserve"> </w:t>
      </w:r>
      <w:r>
        <w:t xml:space="preserve">added later. Checking the thing you built is not checking the thing that shipped.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</w:t>
      </w:r>
      <w:r>
        <w:t xml:space="preserve"> </w:t>
      </w:r>
      <w:r>
        <w:t xml:space="preserve">trigger that grants write credentials to code from an untrusted contributor. Pin the publishing</w:t>
      </w:r>
      <w:r>
        <w:t xml:space="preserve"> </w:t>
      </w:r>
      <w:r>
        <w:t xml:space="preserve">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It does not defend against takeover of the publishing account.</w:t>
      </w:r>
      <w:r>
        <w:t xml:space="preserve"> </w:t>
      </w:r>
      <w:r>
        <w:t xml:space="preserve">Multi-factor on the account and</w:t>
      </w:r>
      <w:r>
        <w:t xml:space="preserve"> </w:t>
      </w:r>
      <w:r>
        <w:t xml:space="preserve">environment protection rules are what cover that, and they are a different control.</w:t>
      </w:r>
    </w:p>
    <w:p>
      <w:pPr>
        <w:pStyle w:val="FirstParagraph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 Signing repository tags</w:t>
      </w:r>
      <w:r>
        <w:t xml:space="preserve"> </w:t>
      </w:r>
      <w:r>
        <w:t xml:space="preserve">and commits remains worthwhile for source provenance --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</w:t>
      </w:r>
      <w:r>
        <w:t xml:space="preserve"> </w:t>
      </w:r>
      <w:r>
        <w:t xml:space="preserve">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further, and the published build-level frameworks</w:t>
      </w:r>
      <w:r>
        <w:t xml:space="preserve"> </w:t>
      </w:r>
      <w:r>
        <w:t xml:space="preserve">are 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t xml:space="preserve">Keyless, identity-based signing removes long-lived key management, which is a real win. Be clear</w:t>
      </w:r>
      <w:r>
        <w:t xml:space="preserve"> </w:t>
      </w:r>
      <w:r>
        <w:t xml:space="preserve">about what it does to the threat model rather than what it removes from it:</w:t>
      </w:r>
      <w:r>
        <w:t xml:space="preserve"> </w:t>
      </w:r>
      <w:r>
        <w:rPr>
          <w:b/>
          <w:bCs/>
        </w:rPr>
        <w:t xml:space="preserve">you are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protecting a key, you are protecting the pipeline identity.</w:t>
      </w:r>
      <w:r>
        <w:t xml:space="preserve"> </w:t>
      </w:r>
      <w:r>
        <w:t xml:space="preserve">Account multi-factor, branch protection</w:t>
      </w:r>
      <w:r>
        <w:t xml:space="preserve"> </w:t>
      </w:r>
      <w:r>
        <w:t xml:space="preserve">and pipeline hardening become the load-bearing controls. A project that adopts keyless signing and</w:t>
      </w:r>
      <w:r>
        <w:t xml:space="preserve"> </w:t>
      </w:r>
      <w:r>
        <w:t xml:space="preserve">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 It buys at least: answering</w:t>
      </w:r>
      <w:r>
        <w:t xml:space="preserve"> </w:t>
      </w:r>
      <w:r>
        <w:rPr>
          <w:i/>
          <w:iCs/>
        </w:rPr>
        <w:t xml:space="preserve">do we ship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X</w:t>
      </w:r>
      <w:r>
        <w:t xml:space="preserve"> </w:t>
      </w:r>
      <w:r>
        <w:t xml:space="preserve">within minutes of a widely publicised advisory; drift detection, by diffing a produced</w:t>
      </w:r>
      <w:r>
        <w:t xml:space="preserve"> </w:t>
      </w:r>
      <w:r>
        <w:t xml:space="preserve">inventory against the intended manifest; and satisfying procurement reviews that ask for one.</w:t>
      </w:r>
    </w:p>
    <w:p>
      <w:pPr>
        <w:pStyle w:val="BodyText"/>
      </w:pPr>
      <w:r>
        <w:t xml:space="preserve">It does not detect tampering with your own code. Nothing about it is a signature.</w:t>
      </w:r>
    </w:p>
    <w:bookmarkEnd w:id="36"/>
    <w:bookmarkStart w:id="37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39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13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13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13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39"/>
    <w:bookmarkStart w:id="41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 The chain of trust only terminates</w:t>
      </w:r>
      <w:r>
        <w:t xml:space="preserve"> </w:t>
      </w:r>
      <w:r>
        <w:t xml:space="preserve">in hardware measured boot, which is the operator's platform decision and not something your software</w:t>
      </w:r>
      <w:r>
        <w:t xml:space="preserve"> </w:t>
      </w:r>
      <w:r>
        <w:t xml:space="preserve">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1"/>
    <w:bookmarkStart w:id="43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4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4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4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4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4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 with a concrete list of paths</w:t>
      </w:r>
      <w:r>
        <w:t xml:space="preserve"> </w:t>
      </w:r>
      <w:r>
        <w:t xml:space="preserve">to monitor and example rules, so an operator has something to apply on day one rather than a category</w:t>
      </w:r>
      <w:r>
        <w:t xml:space="preserve"> </w:t>
      </w:r>
      <w:r>
        <w:t xml:space="preserve">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 The producing</w:t>
      </w:r>
      <w:r>
        <w:t xml:space="preserve"> </w:t>
      </w:r>
      <w:r>
        <w:t xml:space="preserve">project owns secure development practice, secure-by-default configuration, testing and attestation</w:t>
      </w:r>
      <w:r>
        <w:t xml:space="preserve"> </w:t>
      </w:r>
      <w:r>
        <w:t xml:space="preserve">of the software, vulnerability response, and evidence. The operating organization owns host and</w:t>
      </w:r>
      <w:r>
        <w:t xml:space="preserve"> </w:t>
      </w:r>
      <w:r>
        <w:t xml:space="preserve">network, identity and key management in their environment, backups and availability, their own</w:t>
      </w:r>
      <w:r>
        <w:t xml:space="preserve"> </w:t>
      </w:r>
      <w:r>
        <w:t xml:space="preserve">compliance program, and monitoring and patching. State plainly that shipping the software confers no</w:t>
      </w:r>
      <w:r>
        <w:t xml:space="preserve"> </w:t>
      </w:r>
      <w:r>
        <w:t xml:space="preserve">certification on the operator: your attestation is an input to their assessment, never a substitute</w:t>
      </w:r>
      <w:r>
        <w:t xml:space="preserve"> </w:t>
      </w:r>
      <w:r>
        <w:t xml:space="preserve">for it. The register to use for that wording is on the site already -- built to, aligned with,</w:t>
      </w:r>
      <w:r>
        <w:t xml:space="preserve"> </w:t>
      </w:r>
      <w:r>
        <w:t xml:space="preserve">self-assessed against, never certified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3"/>
    <w:bookmarkStart w:id="44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 -- for instance when the enforcing component cannot reach the store</w:t>
      </w:r>
      <w:r>
        <w:t xml:space="preserve"> </w:t>
      </w:r>
      <w:r>
        <w:t xml:space="preserve">holding 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4"/>
    <w:bookmarkStart w:id="45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forge-specific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 release,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47"/>
    <w:bookmarkStart w:id="48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7"/>
        </w:numPr>
      </w:pPr>
      <w:hyperlink r:id="rId5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7"/>
        </w:numPr>
      </w:pPr>
      <w:hyperlink r:id="rId54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2026-08-06T02:35:50Z</dcterms:created>
  <dcterms:modified xsi:type="dcterms:W3CDTF">2026-08-06T02:35:50Z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