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assistants. Here's a two-page guide on what to require they</w:t>
      </w:r>
      <w:r>
        <w:rPr>
          <w:b/>
          <w:bCs/>
        </w:rPr>
        <w:t xml:space="preserve"> </w:t>
      </w:r>
      <w:r>
        <w:rPr>
          <w:b/>
          <w:bCs/>
        </w:rPr>
        <w:t xml:space="preserve">do, and how to tell whether you actually got it.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This summary is written to be read. The</w:t>
      </w:r>
      <w:r>
        <w:t xml:space="preserve"> </w:t>
      </w:r>
      <w:r>
        <w:t xml:space="preserve">standards behind it are different: most of their content is a base for</w:t>
      </w:r>
      <w:r>
        <w:t xml:space="preserve"> </w:t>
      </w:r>
      <w:r>
        <w:t xml:space="preserve">Claude Code, or another AI-assisted coding tool, to apply to a repository. That is how your</w:t>
      </w:r>
      <w:r>
        <w:t xml:space="preserve"> </w:t>
      </w:r>
      <w:r>
        <w:t xml:space="preserve">teams should expect to use them.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authorization,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neutralizes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2026-08-06T01:54:09Z</dcterms:created>
  <dcterms:modified xsi:type="dcterms:W3CDTF">2026-08-06T01:54:09Z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