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t xml:space="preserve">A rubric for answering one question about a body of code:</w:t>
      </w:r>
      <w:r>
        <w:t xml:space="preserve"> </w:t>
      </w:r>
      <w:r>
        <w:rPr>
          <w:b/>
          <w:bCs/>
        </w:rPr>
        <w:t xml:space="preserve">is this good, or is it filler that</w:t>
      </w:r>
      <w:r>
        <w:rPr>
          <w:b/>
          <w:bCs/>
        </w:rPr>
        <w:t xml:space="preserve"> </w:t>
      </w:r>
      <w:r>
        <w:rPr>
          <w:b/>
          <w:bCs/>
        </w:rPr>
        <w:t xml:space="preserve">looks finished?</w:t>
      </w:r>
      <w:r>
        <w:t xml:space="preserve"> </w:t>
      </w:r>
      <w:r>
        <w:t xml:space="preserve">It is written for a repository where much of the code was produced by Claude Code, or another AI-assisted coding tool</w:t>
      </w:r>
      <w:r>
        <w:t xml:space="preserve"> </w:t>
      </w:r>
      <w:r>
        <w:t xml:space="preserve">across parallel sessions, but nothing in it depends on who typed the lines. The rubric judges the</w:t>
      </w:r>
      <w:r>
        <w:t xml:space="preserve"> </w:t>
      </w:r>
      <w:r>
        <w:t xml:space="preserve">artifact.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rubric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that are allowed to decide a verdict</w:t>
      </w:r>
      <w:r>
        <w:t xml:space="preserve"> </w:t>
      </w:r>
      <w:r>
        <w:t xml:space="preserve">and rows that are only allowed to start a conversation. An argument about "is this good enough"</w:t>
      </w:r>
      <w:r>
        <w:t xml:space="preserve"> </w:t>
      </w:r>
      <w:r>
        <w:t xml:space="preserve">then resolves 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neutralizes it</w:t>
      </w:r>
      <w:r>
        <w:t xml:space="preserve">, with</w:t>
      </w:r>
      <w:r>
        <w:t xml:space="preserve"> </w:t>
      </w:r>
      <w:r>
        <w:t xml:space="preserve">a tag naming which of your documents owns that control -- so adopting this adds gates rather than</w:t>
      </w:r>
      <w:r>
        <w:t xml:space="preserve"> </w:t>
      </w:r>
      <w:r>
        <w:t xml:space="preserve">a second copy 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</w:t>
      </w:r>
      <w:r>
        <w:t xml:space="preserve">: depth tiers, so the line-by-line read is</w:t>
      </w:r>
      <w:r>
        <w:t xml:space="preserve"> </w:t>
      </w:r>
      <w:r>
        <w:t xml:space="preserve">aimed at the small fraction that earns it and every other file carries a named cheaper</w:t>
      </w:r>
      <w:r>
        <w:t xml:space="preserve"> </w:t>
      </w:r>
      <w:r>
        <w:t xml:space="preserve">obligation instead of being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</w:t>
      </w:r>
      <w:r>
        <w:t xml:space="preserve"> </w:t>
      </w:r>
      <w:r>
        <w:t xml:space="preserve">does not restate it. If you have no such companion, the rubric will tell you a row is missing and</w:t>
      </w:r>
      <w:r>
        <w:t xml:space="preserve"> </w:t>
      </w:r>
      <w:r>
        <w:t xml:space="preserve">will not tell you how to build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</w:t>
      </w:r>
      <w:r>
        <w:t xml:space="preserve"> </w:t>
      </w:r>
      <w:r>
        <w:t xml:space="preserve">same sentence. The remaining figures were measured in one project's practice and are stated to</w:t>
      </w:r>
      <w:r>
        <w:t xml:space="preserve"> </w:t>
      </w:r>
      <w:r>
        <w:t xml:space="preserve">justify a rule, never as constants you should expect to reproduce. Where a rule came from a</w:t>
      </w:r>
      <w:r>
        <w:t xml:space="preserve"> </w:t>
      </w:r>
      <w:r>
        <w:t xml:space="preserve">specific failure, 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3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t xml:space="preserve">The structural scaffold is a recognized product-quality model rather than invented categories: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</w:t>
      </w:r>
      <w:r>
        <w:t xml:space="preserve"> </w:t>
      </w:r>
      <w:r>
        <w:t xml:space="preserve">-- which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p>
      <w:pPr>
        <w:pStyle w:val="BodyText"/>
      </w:pPr>
      <w:r>
        <w:rPr>
          <w:b/>
          <w:bCs/>
        </w:rPr>
        <w:t xml:space="preserve">Tier 1 -- durable controls. These carry the verdict.</w:t>
      </w:r>
      <w:r>
        <w:t xml:space="preserve"> </w:t>
      </w:r>
      <w:r>
        <w:t xml:space="preserve">Structural, machine-enforceable</w:t>
      </w:r>
      <w:r>
        <w:t xml:space="preserve"> </w:t>
      </w:r>
      <w:r>
        <w:t xml:space="preserve">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t xml:space="preserve">Row 6 is the outbound direction of the supply chain and is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The case worth naming as an instance is that material a project treats as withheld can travel</w:t>
      </w:r>
      <w:r>
        <w:t xml:space="preserve"> </w:t>
      </w:r>
      <w:r>
        <w:t xml:space="preserve">inside a published distribution without anyone reviewing the packaging list.</w:t>
      </w:r>
    </w:p>
    <w:p>
      <w:pPr>
        <w:pStyle w:val="BodyText"/>
      </w:pPr>
      <w:r>
        <w:rPr>
          <w:b/>
          <w:bCs/>
        </w:rPr>
        <w:t xml:space="preserve">Tier 2 -- the measurement layer. Guidance and triage, never a gate on its own.</w:t>
      </w:r>
      <w:r>
        <w:t xml:space="preserve"> </w:t>
      </w:r>
      <w:r>
        <w:t xml:space="preserve">Each of these is</w:t>
      </w:r>
      <w:r>
        <w:t xml:space="preserve"> </w:t>
      </w:r>
      <w:r>
        <w:t xml:space="preserve">a weak or gameable predictor in isolation, so they inform review;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 never by any single row. Tier 1 decides;</w:t>
      </w:r>
      <w:r>
        <w:t xml:space="preserve"> </w:t>
      </w:r>
      <w:r>
        <w:t xml:space="preserve">Tier 2 starts conversations. A strong Tier 2 does not compensate for a missing Tier 1 row, and a</w:t>
      </w:r>
      <w:r>
        <w:t xml:space="preserve"> </w:t>
      </w:r>
      <w:r>
        <w:t xml:space="preserve">weak Tier 2 row is not a finding on its own.</w:t>
      </w:r>
    </w:p>
    <w:bookmarkStart w:id="20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18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19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  <w:r>
        <w:t xml:space="preserve"> </w:t>
      </w:r>
      <w:r>
        <w:t xml:space="preserve">The rule and its reasoning stay on that page. What follows is the bibliography behind it -- the part</w:t>
      </w:r>
      <w:r>
        <w:t xml:space="preserve"> </w:t>
      </w:r>
      <w:r>
        <w:t xml:space="preserve">you need when somebody who disagrees asks where a number came from -- with each claim restated only</w:t>
      </w:r>
      <w:r>
        <w:t xml:space="preserve"> </w:t>
      </w:r>
      <w:r>
        <w:t xml:space="preserve">far enough to attach its citation to it.</w:t>
      </w:r>
    </w:p>
    <w:bookmarkEnd w:id="20"/>
    <w:bookmarkStart w:id="22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 -- and the evidence for the machine-authorship link is weaker than for the metric-validity</w:t>
      </w:r>
      <w:r>
        <w:t xml:space="preserve"> </w:t>
      </w:r>
      <w:r>
        <w:t xml:space="preserve">findings. The actionable part is already covered by small batches and</w:t>
      </w:r>
      <w:r>
        <w:t xml:space="preserve"> </w:t>
      </w:r>
      <w:hyperlink r:id="rId21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The published-research figure on package hallucination, and the controlled trial on developer</w:t>
      </w:r>
      <w:r>
        <w:t xml:space="preserve"> </w:t>
      </w:r>
      <w:r>
        <w:t xml:space="preserve">speed, are already carried on this site with their hedges. Do not restate either; link to</w:t>
      </w:r>
      <w:r>
        <w:t xml:space="preserve"> </w:t>
      </w:r>
      <w:hyperlink r:id="rId31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2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2"/>
    <w:bookmarkStart w:id="33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assistant-generated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Because the refuted claims came mostly from the trend-and-telemetry angle -- vendor material and</w:t>
      </w:r>
      <w:r>
        <w:t xml:space="preserve"> </w:t>
      </w:r>
      <w:r>
        <w:t xml:space="preserve">secondary blogs -- the rubric leans hardest on the peer-reviewed metric-validity studies and treats</w:t>
      </w:r>
      <w:r>
        <w:t xml:space="preserve"> </w:t>
      </w:r>
      <w:r>
        <w:t xml:space="preserve">the trend data as caveated context.</w:t>
      </w:r>
    </w:p>
    <w:bookmarkEnd w:id="33"/>
    <w:bookmarkStart w:id="35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set;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listed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4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What is 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 not after somebody challenged them, and that is what makes the survivors worth citing.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it, and tag each control with which document owns it. Where a companion already owns a</w:t>
      </w:r>
      <w:r>
        <w:t xml:space="preserve"> </w:t>
      </w:r>
      <w:r>
        <w:t xml:space="preserve">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 leaves this document owning</w:t>
      </w:r>
      <w:r>
        <w:t xml:space="preserve"> </w:t>
      </w:r>
      <w:r>
        <w:t xml:space="preserve">exactly the gates nothing else carries.</w:t>
      </w:r>
    </w:p>
    <w:p>
      <w:pPr>
        <w:pStyle w:val="BodyText"/>
      </w:pPr>
      <w:r>
        <w:t xml:space="preserve">The failure modes worth mapping 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38"/>
    <w:bookmarkStart w:id="52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 because</w:t>
      </w:r>
      <w:r>
        <w:t xml:space="preserve"> </w:t>
      </w:r>
      <w:r>
        <w:t xml:space="preserve">it is too slow for the inner loop -- but each one must also be exposed as an opt-in local command a</w:t>
      </w:r>
      <w:r>
        <w:t xml:space="preserve"> </w:t>
      </w:r>
      <w:r>
        <w:t xml:space="preserve">maintainer can run on demand.</w:t>
      </w:r>
      <w:r>
        <w:t xml:space="preserve"> </w:t>
      </w:r>
      <w:r>
        <w:rPr>
          <w:b/>
          <w:bCs/>
        </w:rPr>
        <w:t xml:space="preserve">The pipeline is authoritative in every case</w:t>
      </w:r>
      <w:r>
        <w:t xml:space="preserve">; local runs exist for</w:t>
      </w:r>
      <w:r>
        <w:t xml:space="preserve"> </w:t>
      </w:r>
      <w:r>
        <w:t xml:space="preserve">fast feedback. The mechanics of keeping those two invocations identical are already published:</w:t>
      </w:r>
      <w:r>
        <w:t xml:space="preserve"> </w:t>
      </w:r>
      <w:hyperlink r:id="rId39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0" w:name="review-tools-that-apply-their-own-edits"/>
    <w:p>
      <w:pPr>
        <w:pStyle w:val="Heading3"/>
      </w:pPr>
      <w:r>
        <w:t xml:space="preserve">Review tools that apply their own edits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rPr>
          <w:b/>
          <w:bCs/>
        </w:rPr>
        <w:t xml:space="preserve">Run an applying tool before the local check quartet, never after.</w:t>
      </w:r>
      <w:r>
        <w:t xml:space="preserve"> </w:t>
      </w:r>
      <w:r>
        <w:t xml:space="preserve">A tool that rewrites code and</w:t>
      </w:r>
      <w:r>
        <w:t xml:space="preserve"> </w:t>
      </w:r>
      <w:r>
        <w:t xml:space="preserve">runs after your lint, type and test run mutates the tree that run just certified. Whatever the</w:t>
      </w:r>
      <w:r>
        <w:t xml:space="preserve"> </w:t>
      </w:r>
      <w:r>
        <w:t xml:space="preserve">quartet told you is then true of code that no longer exists. Tools that only report are safe after</w:t>
      </w:r>
      <w:r>
        <w:t xml:space="preserve"> </w:t>
      </w:r>
      <w:r>
        <w:t xml:space="preserve">the quartet, because they change nothing. The ordering is a consequence of what the tool does, not a</w:t>
      </w:r>
      <w:r>
        <w:t xml:space="preserve"> </w:t>
      </w:r>
      <w:r>
        <w:t xml:space="preserve">convention you could reasonably invert.</w:t>
      </w:r>
    </w:p>
    <w:p>
      <w:pPr>
        <w:pStyle w:val="BodyText"/>
      </w:pPr>
      <w:r>
        <w:rPr>
          <w:b/>
          <w:bCs/>
        </w:rPr>
        <w:t xml:space="preserve">An applying tool is not a control, and it may not be scored.</w:t>
      </w:r>
      <w:r>
        <w:t xml:space="preserve"> </w:t>
      </w:r>
      <w:r>
        <w:t xml:space="preserve">If no pipeline leg runs it and</w:t>
      </w:r>
      <w:r>
        <w:t xml:space="preserve"> </w:t>
      </w:r>
      <w:r>
        <w:t xml:space="preserve">nothing reads its output, it is not a gate and not a signal. Be precise about why the liveness rule</w:t>
      </w:r>
      <w:r>
        <w:t xml:space="preserve"> </w:t>
      </w:r>
      <w:r>
        <w:t xml:space="preserve">above -- the requirement that a gate be proven able to fail -- does not reach it: not because it is</w:t>
      </w:r>
      <w:r>
        <w:t xml:space="preserve"> </w:t>
      </w:r>
      <w:r>
        <w:t xml:space="preserve">advisory, but because</w:t>
      </w:r>
      <w:r>
        <w:t xml:space="preserve"> </w:t>
      </w:r>
      <w:r>
        <w:rPr>
          <w:b/>
          <w:bCs/>
        </w:rPr>
        <w:t xml:space="preserve">there is no green check to trust in the first place</w:t>
      </w:r>
      <w:r>
        <w:t xml:space="preserve">. State it loosely and a</w:t>
      </w:r>
      <w:r>
        <w:t xml:space="preserve"> </w:t>
      </w:r>
      <w:r>
        <w:t xml:space="preserve">reader concludes advisory things are exempt from liveness, 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tool leaves nothing in your repository to score.</w:t>
      </w:r>
      <w:r>
        <w:t xml:space="preserve"> </w:t>
      </w:r>
      <w:r>
        <w:t xml:space="preserve">When the</w:t>
      </w:r>
      <w:r>
        <w:t xml:space="preserve"> </w:t>
      </w:r>
      <w:r>
        <w:t xml:space="preserve">tool arrives with the AI coding tool rather than with the project, no artifact under version</w:t>
      </w:r>
      <w:r>
        <w:t xml:space="preserve"> </w:t>
      </w:r>
      <w:r>
        <w:t xml:space="preserve">control records its presence. A status claim about it can therefore be neither verified nor</w:t>
      </w:r>
      <w:r>
        <w:t xml:space="preserve"> </w:t>
      </w:r>
      <w:r>
        <w:t xml:space="preserve">falsified from the repository, so the honest entry is no status at all -- not "built", not</w:t>
      </w:r>
      <w:r>
        <w:t xml:space="preserve"> </w:t>
      </w:r>
      <w:r>
        <w:t xml:space="preserve">"enabled". This one is easy to get wrong by accident, because the tool is plainly doing useful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Tell it which duplication is deliberate.</w:t>
      </w:r>
      <w:r>
        <w:t xml:space="preserve"> </w:t>
      </w:r>
      <w:r>
        <w:t xml:space="preserve">A tool that rewrites for reuse will collapse repetition</w:t>
      </w:r>
      <w:r>
        <w:t xml:space="preserve"> </w:t>
      </w:r>
      <w:r>
        <w:t xml:space="preserve">that exists on purpose, and collapsing it undoes a decision someone made for reasons. Carry the</w:t>
      </w:r>
      <w:r>
        <w:t xml:space="preserve"> </w:t>
      </w:r>
      <w:r>
        <w:t xml:space="preserve">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 -- because the closed form is</w:t>
      </w:r>
      <w:r>
        <w:t xml:space="preserve"> </w:t>
      </w:r>
      <w:r>
        <w:t xml:space="preserve">what fails: a list of exactly two cases went to review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0"/>
    <w:bookmarkStart w:id="42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basis;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 The general rule is already stated as</w:t>
      </w:r>
      <w:r>
        <w:t xml:space="preserve"> </w:t>
      </w:r>
      <w:hyperlink r:id="rId41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2"/>
    <w:bookmarkStart w:id="44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 In one later review, three</w:t>
      </w:r>
      <w:r>
        <w:t xml:space="preserve"> </w:t>
      </w:r>
      <w:r>
        <w:t xml:space="preserve">defects were found across two of five measurement gates, all green throughout: two gates measuring</w:t>
      </w:r>
      <w:r>
        <w:t xml:space="preserve"> </w:t>
      </w:r>
      <w:r>
        <w:t xml:space="preserve">nothing, and one measuring correctly while publishing a wrong derived number. One of them had been</w:t>
      </w:r>
      <w:r>
        <w:t xml:space="preserve"> </w:t>
      </w:r>
      <w:r>
        <w:t xml:space="preserve">scored built across two published versions of the rubric while producing zero units of 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3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8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8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8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8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4"/>
    <w:bookmarkStart w:id="45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change: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5"/>
    <w:bookmarkStart w:id="46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46"/>
    <w:bookmarkStart w:id="48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requirement, and a hash-pinned</w:t>
      </w:r>
      <w:r>
        <w:t xml:space="preserve"> </w:t>
      </w:r>
      <w:r>
        <w:t xml:space="preserve">toolchain 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</w:t>
      </w:r>
      <w:r>
        <w:t xml:space="preserve"> </w:t>
      </w:r>
      <w:r>
        <w:t xml:space="preserve">unpatched 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locks, and assert that it cannot leak into the runtime</w:t>
      </w:r>
      <w:r>
        <w:t xml:space="preserve"> </w:t>
      </w:r>
      <w:r>
        <w:t xml:space="preserve">install set.</w:t>
      </w:r>
      <w:r>
        <w:t xml:space="preserve"> </w:t>
      </w:r>
      <w:r>
        <w:rPr>
          <w:i/>
          <w:iCs/>
        </w:rPr>
        <w:t xml:space="preserve">The declaration mechanism -- a non-default dependency group, an optional extra,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lock file -- is ecosystem-specific; check what yours actually guarantees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assuming a version pin is a digest pin.</w:t>
      </w:r>
      <w:r>
        <w:t xml:space="preserve"> </w:t>
      </w:r>
      <w:r>
        <w:t xml:space="preserve">The general rule is</w:t>
      </w:r>
      <w:r>
        <w:t xml:space="preserve"> </w:t>
      </w:r>
      <w:hyperlink r:id="rId47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48"/>
    <w:bookmarkStart w:id="50" w:name="rolling-out-a-blocking-lint-expansion"/>
    <w:p>
      <w:pPr>
        <w:pStyle w:val="Heading3"/>
      </w:pPr>
      <w:r>
        <w:t xml:space="preserve">Rolling out a blocking lint expansion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49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0"/>
    <w:bookmarkStart w:id="51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 -- the expensive read is aimed at the fraction that earns</w:t>
      </w:r>
      <w:r>
        <w:t xml:space="preserve"> </w:t>
      </w:r>
      <w:r>
        <w:t xml:space="preserve">it, 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site: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3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4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56"/>
    <w:bookmarkStart w:id="58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1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1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1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1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1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1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1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57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58"/>
    <w:bookmarkStart w:id="59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satisfied: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</w:t>
      </w:r>
      <w:r>
        <w:t xml:space="preserve"> </w:t>
      </w:r>
      <w:r>
        <w:t xml:space="preserve">exactly when the author reviews their own machine-assisted output, which makes</w:t>
      </w:r>
      <w:r>
        <w:t xml:space="preserve"> </w:t>
      </w:r>
      <w:r>
        <w:rPr>
          <w:b/>
          <w:bCs/>
        </w:rPr>
        <w:t xml:space="preserve">mutation on changed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the highest-leverage gate to build first: it is the one control that adversarially checks</w:t>
      </w:r>
      <w:r>
        <w:t xml:space="preserve"> </w:t>
      </w:r>
      <w:r>
        <w:t xml:space="preserve">whether 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59"/>
    <w:bookmarkStart w:id="6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2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2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2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2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 If a number will be quoted</w:t>
      </w:r>
      <w:r>
        <w:t xml:space="preserve"> </w:t>
      </w:r>
      <w:r>
        <w:t xml:space="preserve">elsewhere, freeze it; if you must renumber, say which identifier families are frozen and which</w:t>
      </w:r>
      <w:r>
        <w:t xml:space="preserve"> </w:t>
      </w:r>
      <w:r>
        <w:t xml:space="preserve">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0"/>
    <w:bookmarkStart w:id="61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4"/>
        </w:numPr>
      </w:pPr>
      <w:hyperlink r:id="rId6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4"/>
        </w:numPr>
      </w:pPr>
      <w:hyperlink r:id="rId63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4"/>
        </w:numPr>
      </w:pPr>
      <w:hyperlink r:id="rId64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4"/>
        </w:numPr>
      </w:pPr>
      <w:hyperlink r:id="rId6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2026-08-06T01:54:08Z</dcterms:created>
  <dcterms:modified xsi:type="dcterms:W3CDTF">2026-08-06T01:54:08Z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