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3e9aba9704e345891ec920b15f537dcb643fa89"/>
    <w:p>
      <w:pPr>
        <w:pStyle w:val="Heading3"/>
      </w:pPr>
      <w:r>
        <w:t xml:space="preserve">The hallucinated package, and why an assistant makes it routine</w:t>
      </w:r>
    </w:p>
    <w:p>
      <w:pPr>
        <w:pStyle w:val="FirstParagraph"/>
      </w:pPr>
      <w:r>
        <w:t xml:space="preserve">An AI coding tool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</w:t>
      </w:r>
      <w:r>
        <w:t xml:space="preserve"> </w:t>
      </w:r>
      <w:r>
        <w:t xml:space="preserve">names in that ecosystem is exactly the output the model is good at producing. And it is</w:t>
      </w:r>
      <w:r>
        <w:t xml:space="preserve"> </w:t>
      </w:r>
      <w:r>
        <w:t xml:space="preserve">indistinguishable, at the point of use, from a name that exists. That regularity is the attack</w:t>
      </w:r>
      <w:r>
        <w:t xml:space="preserve"> </w:t>
      </w:r>
      <w:r>
        <w:t xml:space="preserve">surface: a name suggested often 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AI coding tool's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AI coding tool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8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8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8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9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9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9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11"/>
        </w:numPr>
      </w:pPr>
      <w:r>
        <w:t xml:space="preserve">a restricted network posture</w:t>
      </w:r>
    </w:p>
    <w:p>
      <w:pPr>
        <w:pStyle w:val="Compact"/>
        <w:numPr>
          <w:ilvl w:val="0"/>
          <w:numId w:val="1011"/>
        </w:numPr>
      </w:pPr>
      <w:r>
        <w:t xml:space="preserve">authentication required</w:t>
      </w:r>
    </w:p>
    <w:p>
      <w:pPr>
        <w:pStyle w:val="Compact"/>
        <w:numPr>
          <w:ilvl w:val="0"/>
          <w:numId w:val="1011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11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list. That is because the packaging list was written as an exclusion and the material was</w:t>
      </w:r>
      <w:r>
        <w:t xml:space="preserve"> </w:t>
      </w:r>
      <w:r>
        <w:t xml:space="preserve">added 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3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3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3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4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4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4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4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4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 The producing</w:t>
      </w:r>
      <w:r>
        <w:t xml:space="preserve"> </w:t>
      </w:r>
      <w:r>
        <w:t xml:space="preserve">project owns secure development practice, secure-by-default configuration, testing and attestation</w:t>
      </w:r>
      <w:r>
        <w:t xml:space="preserve"> </w:t>
      </w:r>
      <w:r>
        <w:t xml:space="preserve">of the software, vulnerability response, and evidence. The operating organization owns 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program, and monitoring and patching.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7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2026-08-06T01:54:08Z</dcterms:created>
  <dcterms:modified xsi:type="dcterms:W3CDTF">2026-08-06T01:54:08Z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