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rPr>
          <w:b/>
          <w:bCs/>
        </w:rPr>
        <w:t xml:space="preserve">A rubric for answering one question about a body of code: is this good, or is it filler that looks</w:t>
      </w:r>
      <w:r>
        <w:rPr>
          <w:b/>
          <w:bCs/>
        </w:rPr>
        <w:t xml:space="preserve"> </w:t>
      </w:r>
      <w:r>
        <w:rPr>
          <w:b/>
          <w:bCs/>
        </w:rPr>
        <w:t xml:space="preserve">finished?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rubric judges the artifact, so nothing in it turns on who typed the lines.</w:t>
      </w:r>
      <w:r>
        <w:t xml:space="preserve"> </w:t>
      </w:r>
      <w:r>
        <w:t xml:space="preserve">It was written</w:t>
      </w:r>
      <w:r>
        <w:t xml:space="preserve"> </w:t>
      </w:r>
      <w:r>
        <w:t xml:space="preserve">for a repository where much of the code came from an AI coding assistant across parallel sessions,</w:t>
      </w:r>
      <w:r>
        <w:t xml:space="preserve"> </w:t>
      </w:r>
      <w:r>
        <w:t xml:space="preserve">and it would read the same way for code written entirely by hand.</w:t>
      </w:r>
    </w:p>
    <w:p>
      <w:pPr>
        <w:pStyle w:val="BodyText"/>
      </w:pPr>
      <w:r>
        <w:t xml:space="preserve">Eleven signals answer the question, in two tiers weighted unequally.</w:t>
      </w:r>
      <w:r>
        <w:t xml:space="preserve"> </w:t>
      </w:r>
      <w:r>
        <w:rPr>
          <w:b/>
          <w:bCs/>
        </w:rPr>
        <w:t xml:space="preserve">Tier 1 carries the verdict:</w:t>
      </w:r>
      <w:r>
        <w:t xml:space="preserve"> </w:t>
      </w:r>
      <w:r>
        <w:t xml:space="preserve">six structural properties a machine can check and that are hard to fake -- enforced architecture</w:t>
      </w:r>
      <w:r>
        <w:t xml:space="preserve"> </w:t>
      </w:r>
      <w:r>
        <w:t xml:space="preserve">boundaries, strict type checking, tests that assert real values rather than mock choreography,</w:t>
      </w:r>
      <w:r>
        <w:t xml:space="preserve"> </w:t>
      </w:r>
      <w:r>
        <w:t xml:space="preserve">dependency integrity, blocking security scanning alongside a written threat model, and a published</w:t>
      </w:r>
      <w:r>
        <w:t xml:space="preserve"> </w:t>
      </w:r>
      <w:r>
        <w:t xml:space="preserve">artifact containing only what was declared.</w:t>
      </w:r>
      <w:r>
        <w:t xml:space="preserve"> </w:t>
      </w:r>
      <w:r>
        <w:rPr>
          <w:b/>
          <w:bCs/>
        </w:rPr>
        <w:t xml:space="preserve">Tier 2 only starts conversations:</w:t>
      </w:r>
      <w:r>
        <w:t xml:space="preserve"> </w:t>
      </w:r>
      <w:r>
        <w:t xml:space="preserve">mutation testing,</w:t>
      </w:r>
      <w:r>
        <w:t xml:space="preserve"> </w:t>
      </w:r>
      <w:r>
        <w:t xml:space="preserve">coverage visibility, duplication, lint breadth and complexity triage inform a reviewer and certify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The rule that holds the two apart is hard, and it is the one most often broken.</w:t>
      </w:r>
      <w:r>
        <w:t xml:space="preserve"> </w:t>
      </w:r>
      <w:r>
        <w:rPr>
          <w:b/>
          <w:bCs/>
        </w:rPr>
        <w:t xml:space="preserve">Do not certify</w:t>
      </w:r>
      <w:r>
        <w:rPr>
          <w:b/>
          <w:bCs/>
        </w:rPr>
        <w:t xml:space="preserve"> </w:t>
      </w:r>
      <w:r>
        <w:rPr>
          <w:b/>
          <w:bCs/>
        </w:rPr>
        <w:t xml:space="preserve">quality, and do not fail a build, on any single number</w:t>
      </w:r>
      <w:r>
        <w:t xml:space="preserve"> </w:t>
      </w:r>
      <w:r>
        <w:t xml:space="preserve">-- not line coverage, not lines of code,</w:t>
      </w:r>
      <w:r>
        <w:t xml:space="preserve"> </w:t>
      </w:r>
      <w:r>
        <w:t xml:space="preserve">not cyclomatic complexity, not static-analysis severity counts. Any of them may be surfaced as</w:t>
      </w:r>
      <w:r>
        <w:t xml:space="preserve"> </w:t>
      </w:r>
      <w:r>
        <w:t xml:space="preserve">advisory triage that a human arbitrates; none of them may be the gate. The verdict is the composite,</w:t>
      </w:r>
      <w:r>
        <w:t xml:space="preserve"> </w:t>
      </w:r>
      <w:r>
        <w:t xml:space="preserve">never one row.</w:t>
      </w:r>
    </w:p>
    <w:p>
      <w:pPr>
        <w:pStyle w:val="BodyText"/>
      </w:pPr>
      <w:r>
        <w:t xml:space="preserve">Two things this deliberately withholds. It supplies</w:t>
      </w:r>
      <w:r>
        <w:t xml:space="preserve"> </w:t>
      </w:r>
      <w:r>
        <w:rPr>
          <w:b/>
          <w:bCs/>
        </w:rPr>
        <w:t xml:space="preserve">no thresholds</w:t>
      </w:r>
      <w:r>
        <w:t xml:space="preserve">: the published evidence</w:t>
      </w:r>
      <w:r>
        <w:t xml:space="preserve"> </w:t>
      </w:r>
      <w:r>
        <w:t xml:space="preserve">establishes that single metrics fail and validates no cutoff, so any number you use is one you set</w:t>
      </w:r>
      <w:r>
        <w:t xml:space="preserve"> </w:t>
      </w:r>
      <w:r>
        <w:t xml:space="preserve">and have to defend. And where merges cannot be blocked, Tier 1 degrades from a set of controls to a</w:t>
      </w:r>
      <w:r>
        <w:t xml:space="preserve"> </w:t>
      </w:r>
      <w:r>
        <w:t xml:space="preserve">checklist -- which an honest scorecard says out loud rather than scoring around.</w:t>
      </w:r>
    </w:p>
    <w:p>
      <w:r>
        <w:pict>
          <v:rect style="width:0;height:1.5pt" o:hralign="center" o:hrstd="t" o:hr="t"/>
        </w:pict>
      </w:r>
    </w:p>
    <w:bookmarkEnd w:id="12"/>
    <w:bookmarkStart w:id="13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scorecard you can run each release</w:t>
      </w:r>
      <w:r>
        <w:t xml:space="preserve">, split into rows allowed to decide a verdict and rows</w:t>
      </w:r>
      <w:r>
        <w:t xml:space="preserve"> </w:t>
      </w:r>
      <w:r>
        <w:t xml:space="preserve">allowed only to start a conversation. An argument about "is this good enough" then resolves</w:t>
      </w:r>
      <w:r>
        <w:t xml:space="preserve"> </w:t>
      </w:r>
      <w:r>
        <w:t xml:space="preserve">against structure instead of against whoever quotes the largest number.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to point at</w:t>
      </w:r>
      <w:r>
        <w:t xml:space="preserve"> </w:t>
      </w:r>
      <w:r>
        <w:t xml:space="preserve">when somebody proposes a coverage floor or a complexity gate, plus</w:t>
      </w:r>
      <w:r>
        <w:t xml:space="preserve"> </w:t>
      </w:r>
      <w:r>
        <w:t xml:space="preserve">the published evidence that makes it a defect rather than a matter of taste.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bibliography and the hedge for each of those findings</w:t>
      </w:r>
      <w:r>
        <w:t xml:space="preserve">, so a decision not to gate on a</w:t>
      </w:r>
      <w:r>
        <w:t xml:space="preserve"> </w:t>
      </w:r>
      <w:r>
        <w:t xml:space="preserve">number survives review by someone who has read the underlying paper.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map from each way machine-written code goes wrong to the control that neutralizes it</w:t>
      </w:r>
      <w:r>
        <w:t xml:space="preserve">, each</w:t>
      </w:r>
      <w:r>
        <w:t xml:space="preserve"> </w:t>
      </w:r>
      <w:r>
        <w:t xml:space="preserve">control tagged with the document that owns it. Adopting this adds gates rather than a second copy</w:t>
      </w:r>
      <w:r>
        <w:t xml:space="preserve"> </w:t>
      </w:r>
      <w:r>
        <w:t xml:space="preserve">of rules you already enforce.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placement rule for every gate</w:t>
      </w:r>
      <w:r>
        <w:t xml:space="preserve">: which run in the local loop, which are pipeline-first, and</w:t>
      </w:r>
      <w:r>
        <w:t xml:space="preserve"> </w:t>
      </w:r>
      <w:r>
        <w:t xml:space="preserve">the one condition under which that decision must be re-derived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review method that makes a large diff finite.</w:t>
      </w:r>
      <w:r>
        <w:t xml:space="preserve"> </w:t>
      </w:r>
      <w:r>
        <w:t xml:space="preserve">Depth tiers aim the line-by-line read at the</w:t>
      </w:r>
      <w:r>
        <w:t xml:space="preserve"> </w:t>
      </w:r>
      <w:r>
        <w:t xml:space="preserve">small fraction that earns it, and give every other file a named cheaper obligation. The</w:t>
      </w:r>
      <w:r>
        <w:t xml:space="preserve"> </w:t>
      </w:r>
      <w:r>
        <w:t xml:space="preserve">alternative is a file either skipped in silence or read at ruinous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question set for the hardest review in any codebase</w:t>
      </w:r>
      <w:r>
        <w:t xml:space="preserve"> </w:t>
      </w:r>
      <w:r>
        <w:t xml:space="preserve">-- the seam where content of unknown</w:t>
      </w:r>
      <w:r>
        <w:t xml:space="preserve"> </w:t>
      </w:r>
      <w:r>
        <w:t xml:space="preserve">provenance becomes running code -- including the two questions almost always missed.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widely repeated figures about machine-written code that did not survive verification</w:t>
      </w:r>
      <w:r>
        <w:t xml:space="preserve">,</w:t>
      </w:r>
      <w:r>
        <w:t xml:space="preserve"> </w:t>
      </w:r>
      <w:r>
        <w:t xml:space="preserve">named so you can stop repeating them, and as a worked demonstration that this document's own</w:t>
      </w:r>
      <w:r>
        <w:t xml:space="preserve"> </w:t>
      </w:r>
      <w:r>
        <w:t xml:space="preserve">filter has teeth.</w:t>
      </w:r>
    </w:p>
    <w:p>
      <w:r>
        <w:pict>
          <v:rect style="width:0;height:1.5pt" o:hralign="center" o:hrstd="t" o:hr="t"/>
        </w:pict>
      </w:r>
    </w:p>
    <w:bookmarkEnd w:id="13"/>
    <w:bookmarkStart w:id="15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 does</w:t>
      </w:r>
      <w:r>
        <w:t xml:space="preserve"> </w:t>
      </w:r>
      <w:r>
        <w:t xml:space="preserve">not restate it. With no such companion, the rubric tells you a row is missing and not how to build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FirstParagraph"/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 same</w:t>
      </w:r>
      <w:r>
        <w:t xml:space="preserve"> </w:t>
      </w:r>
      <w:r>
        <w:t xml:space="preserve">sentence. The remaining figures were measured in one project's practice and are stated to justify a</w:t>
      </w:r>
      <w:r>
        <w:t xml:space="preserve"> </w:t>
      </w:r>
      <w:r>
        <w:t xml:space="preserve">rule, never as constants you should expect to reproduce. Where a rule came from a specific failure,</w:t>
      </w:r>
      <w:r>
        <w:t xml:space="preserve"> </w:t>
      </w:r>
      <w:r>
        <w:t xml:space="preserve">the failure is described without its setting.</w:t>
      </w:r>
    </w:p>
    <w:p>
      <w:r>
        <w:pict>
          <v:rect style="width:0;height:1.5pt" o:hralign="center" o:hrstd="t" o:hr="t"/>
        </w:pict>
      </w:r>
    </w:p>
    <w:bookmarkEnd w:id="15"/>
    <w:bookmarkStart w:id="17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6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your thresholds in your own appendix</w:t>
      </w:r>
      <w:r>
        <w:t xml:space="preserve">, labeled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7"/>
    <w:bookmarkStart w:id="26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rPr>
          <w:b/>
          <w:bCs/>
        </w:rPr>
        <w:t xml:space="preserve">Rule: Tier 1 decides; Tier 2 starts conversations.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</w:t>
      </w:r>
      <w:r>
        <w:t xml:space="preserve"> </w:t>
      </w:r>
      <w:r>
        <w:t xml:space="preserve">never by any single row. A strong Tier 2 does not compensate for a missing Tier 1 row, and a weak</w:t>
      </w:r>
      <w:r>
        <w:t xml:space="preserve"> </w:t>
      </w:r>
      <w:r>
        <w:t xml:space="preserve">Tier 2 row is not a finding on its own.</w:t>
      </w:r>
    </w:p>
    <w:p>
      <w:pPr>
        <w:pStyle w:val="BodyText"/>
      </w:pPr>
      <w:r>
        <w:t xml:space="preserve">The structural scaffold is a recognized product-quality model rather than invented categories.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hiding.</w:t>
      </w:r>
      <w:r>
        <w:t xml:space="preserve"> </w:t>
      </w:r>
      <w:r>
        <w:t xml:space="preserve">That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bookmarkStart w:id="19" w:name="Xdf0793991d883bd530aac2d56d0ebf2a958f241"/>
    <w:p>
      <w:pPr>
        <w:pStyle w:val="Heading3"/>
      </w:pPr>
      <w:r>
        <w:t xml:space="preserve">Tier 1 -- durable controls, which carry the verdict</w:t>
      </w:r>
    </w:p>
    <w:p>
      <w:pPr>
        <w:pStyle w:val="FirstParagraph"/>
      </w:pPr>
      <w:r>
        <w:t xml:space="preserve">These are structural, machine-enforceable 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Published-artifact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Row 6 is the outbound direction of the supply chain</w:t>
      </w:r>
      <w:r>
        <w:t xml:space="preserve">,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8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One instance worth naming: material a project treats as withheld can travel inside a published</w:t>
      </w:r>
      <w:r>
        <w:t xml:space="preserve"> </w:t>
      </w:r>
      <w:r>
        <w:t xml:space="preserve">distribution without anyone reviewing the packaging list.</w:t>
      </w:r>
    </w:p>
    <w:bookmarkEnd w:id="19"/>
    <w:bookmarkStart w:id="20" w:name="Xea2df85c5e482f5571f2487a3906895dabb3781"/>
    <w:p>
      <w:pPr>
        <w:pStyle w:val="Heading3"/>
      </w:pPr>
      <w:r>
        <w:t xml:space="preserve">Tier 2 -- the measurement layer, which is guidance and triage</w:t>
      </w:r>
    </w:p>
    <w:p>
      <w:pPr>
        <w:pStyle w:val="FirstParagraph"/>
      </w:pPr>
      <w:r>
        <w:t xml:space="preserve">Each of these is a weak or gameable predictor in isolation.</w:t>
      </w:r>
      <w:r>
        <w:t xml:space="preserve"> </w:t>
      </w:r>
      <w:r>
        <w:rPr>
          <w:b/>
          <w:bCs/>
        </w:rPr>
        <w:t xml:space="preserve">None is a gate on its own</w:t>
      </w:r>
      <w:r>
        <w:t xml:space="preserve">: they</w:t>
      </w:r>
      <w:r>
        <w:t xml:space="preserve"> </w:t>
      </w:r>
      <w:r>
        <w:t xml:space="preserve">inform review, and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bookmarkEnd w:id="20"/>
    <w:bookmarkStart w:id="23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21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22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</w:p>
    <w:p>
      <w:pPr>
        <w:pStyle w:val="BodyText"/>
      </w:pPr>
      <w:r>
        <w:t xml:space="preserve">The rule and its reasoning stay on that page. What follows is the bibliography behind it, with each</w:t>
      </w:r>
      <w:r>
        <w:t xml:space="preserve"> </w:t>
      </w:r>
      <w:r>
        <w:t xml:space="preserve">claim restated only far enough to attach its citation. That is the part you need when somebody who</w:t>
      </w:r>
      <w:r>
        <w:t xml:space="preserve"> </w:t>
      </w:r>
      <w:r>
        <w:t xml:space="preserve">disagrees asks where a number came from.</w:t>
      </w:r>
    </w:p>
    <w:bookmarkEnd w:id="23"/>
    <w:bookmarkStart w:id="25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artifact signals</w:t>
      </w:r>
      <w:r>
        <w:t xml:space="preserve"> </w:t>
      </w:r>
      <w:r>
        <w:t xml:space="preserve">above. The evidence for the machine-authorship link is also weaker than the evidence for the</w:t>
      </w:r>
      <w:r>
        <w:t xml:space="preserve"> </w:t>
      </w:r>
      <w:r>
        <w:t xml:space="preserve">metric-validity findings.</w:t>
      </w:r>
    </w:p>
    <w:p>
      <w:pPr>
        <w:pStyle w:val="BodyText"/>
      </w:pPr>
      <w:r>
        <w:t xml:space="preserve">The actionable part is already covered by small batches and</w:t>
      </w:r>
      <w:r>
        <w:t xml:space="preserve"> </w:t>
      </w:r>
      <w:hyperlink r:id="rId24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generalizes:</w:t>
      </w:r>
      <w:r>
        <w:t xml:space="preserve"> </w:t>
      </w:r>
      <w:r>
        <w:rPr>
          <w:b/>
          <w:bCs/>
        </w:rPr>
        <w:t xml:space="preserve">when someone proposes adding an outcome metric to an artifact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9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artifact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Two further figures are already carried on this site with their hedges: the published-research</w:t>
      </w:r>
      <w:r>
        <w:t xml:space="preserve"> </w:t>
      </w:r>
      <w:r>
        <w:t xml:space="preserve">figure on package hallucination, and the controlled trial on developer speed. Do not restate either.</w:t>
      </w:r>
      <w:r>
        <w:t xml:space="preserve"> </w:t>
      </w:r>
      <w:r>
        <w:t xml:space="preserve">Link to</w:t>
      </w:r>
      <w:r>
        <w:t xml:space="preserve"> </w:t>
      </w:r>
      <w:hyperlink r:id="rId34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5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4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4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4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4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4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4"/>
        </w:numPr>
      </w:pPr>
      <w:r>
        <w:t xml:space="preserve">No source supplies a validated single-metric certification threshold.</w:t>
      </w:r>
    </w:p>
    <w:bookmarkEnd w:id="35"/>
    <w:bookmarkStart w:id="36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"About 40 percent of AI-generated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The refuted claims came mostly from the trend-and-telemetry angle -- vendor material and secondary</w:t>
      </w:r>
      <w:r>
        <w:t xml:space="preserve"> </w:t>
      </w:r>
      <w:r>
        <w:t xml:space="preserve">blogs. So the rubric leans hardest on the peer-reviewed metric-validity studies and treats the trend</w:t>
      </w:r>
      <w:r>
        <w:t xml:space="preserve"> </w:t>
      </w:r>
      <w:r>
        <w:t xml:space="preserve">data as caveated context.</w:t>
      </w:r>
    </w:p>
    <w:bookmarkEnd w:id="36"/>
    <w:bookmarkStart w:id="38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set.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the refuted list above.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Anchor the structure to a recognized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7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</w:t>
      </w:r>
      <w:r>
        <w:t xml:space="preserve"> </w:t>
      </w:r>
      <w:r>
        <w:t xml:space="preserve">not after somebody challenged them. That is what makes the survivors worth citing.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neutralizes it. Tag each control with the document that owns it.</w:t>
      </w:r>
    </w:p>
    <w:p>
      <w:pPr>
        <w:pStyle w:val="BodyText"/>
      </w:pPr>
      <w:r>
        <w:t xml:space="preserve">Where a companion already owns a 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</w:t>
      </w:r>
      <w:r>
        <w:t xml:space="preserve"> </w:t>
      </w:r>
      <w:r>
        <w:t xml:space="preserve">leaves this document owning exactly the gates nothing else carries. The failure modes worth mapping</w:t>
      </w:r>
      <w:r>
        <w:t xml:space="preserve"> </w:t>
      </w:r>
      <w:r>
        <w:t xml:space="preserve">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neutralizes.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41"/>
    <w:bookmarkStart w:id="57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pipeline-first,</w:t>
      </w:r>
      <w:r>
        <w:t xml:space="preserve"> </w:t>
      </w:r>
      <w:r>
        <w:t xml:space="preserve">because it is too slow for the inner loop. Each one must also be exposed as an opt-in local command</w:t>
      </w:r>
      <w:r>
        <w:t xml:space="preserve"> </w:t>
      </w:r>
      <w:r>
        <w:t xml:space="preserve">a maintainer can run on demand.</w:t>
      </w:r>
    </w:p>
    <w:p>
      <w:pPr>
        <w:pStyle w:val="BodyText"/>
      </w:pPr>
      <w:r>
        <w:rPr>
          <w:b/>
          <w:bCs/>
        </w:rPr>
        <w:t xml:space="preserve">The pipeline is authoritative in every case</w:t>
      </w:r>
      <w:r>
        <w:t xml:space="preserve">; local runs exist for fast feedback. The mechanics of</w:t>
      </w:r>
      <w:r>
        <w:t xml:space="preserve"> </w:t>
      </w:r>
      <w:r>
        <w:t xml:space="preserve">keeping those two invocations identical are already published:</w:t>
      </w:r>
      <w:r>
        <w:t xml:space="preserve"> </w:t>
      </w:r>
      <w:hyperlink r:id="rId42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3" w:name="Xeb9f02e76d351661f9e4cebb1184bc6cd5f8704"/>
    <w:p>
      <w:pPr>
        <w:pStyle w:val="Heading3"/>
      </w:pPr>
      <w:r>
        <w:t xml:space="preserve">Run an applying tool before the local check quartet, never after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t xml:space="preserve">A tool that rewrites code and runs after your lint, type and test run mutates the tree that run just</w:t>
      </w:r>
      <w:r>
        <w:t xml:space="preserve"> </w:t>
      </w:r>
      <w:r>
        <w:t xml:space="preserve">certified. Whatever the quartet told you is then true of code that no longer exists.</w:t>
      </w:r>
    </w:p>
    <w:p>
      <w:pPr>
        <w:pStyle w:val="BodyText"/>
      </w:pPr>
      <w:r>
        <w:t xml:space="preserve">Tools that only report are safe after the quartet, because they change nothing. The ordering is a</w:t>
      </w:r>
      <w:r>
        <w:t xml:space="preserve"> </w:t>
      </w:r>
      <w:r>
        <w:t xml:space="preserve">consequence of what the tool does, not a convention you could reasonably invert.</w:t>
      </w:r>
    </w:p>
    <w:bookmarkEnd w:id="43"/>
    <w:bookmarkStart w:id="44" w:name="X9d2a7b90d997eb5229c605c3c481d429c3bd196"/>
    <w:p>
      <w:pPr>
        <w:pStyle w:val="Heading3"/>
      </w:pPr>
      <w:r>
        <w:t xml:space="preserve">An applying tool is not a control, and it may not be scored</w:t>
      </w:r>
    </w:p>
    <w:p>
      <w:pPr>
        <w:pStyle w:val="FirstParagraph"/>
      </w:pPr>
      <w:r>
        <w:t xml:space="preserve">If no pipeline leg runs it and nothing reads its output, it is not a gate and not a signal.</w:t>
      </w:r>
    </w:p>
    <w:p>
      <w:pPr>
        <w:pStyle w:val="BodyText"/>
      </w:pPr>
      <w:r>
        <w:t xml:space="preserve">Be precise about why the liveness rule above -- the requirement that a gate be proven able to fail --</w:t>
      </w:r>
      <w:r>
        <w:t xml:space="preserve"> </w:t>
      </w:r>
      <w:r>
        <w:t xml:space="preserve">does not reach it. Not because it is advisory, but because</w:t>
      </w:r>
      <w:r>
        <w:t xml:space="preserve"> </w:t>
      </w:r>
      <w:r>
        <w:rPr>
          <w:b/>
          <w:bCs/>
        </w:rPr>
        <w:t xml:space="preserve">there is no green check to trust in the</w:t>
      </w:r>
      <w:r>
        <w:rPr>
          <w:b/>
          <w:bCs/>
        </w:rPr>
        <w:t xml:space="preserve"> </w:t>
      </w:r>
      <w:r>
        <w:rPr>
          <w:b/>
          <w:bCs/>
        </w:rPr>
        <w:t xml:space="preserve">first place</w:t>
      </w:r>
      <w:r>
        <w:t xml:space="preserve">. State it loosely and a reader concludes advisory things are exempt from liveness,</w:t>
      </w:r>
      <w:r>
        <w:t xml:space="preserve"> </w:t>
      </w:r>
      <w:r>
        <w:t xml:space="preserve">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AI coding assistant leaves nothing in your repository to score.</w:t>
      </w:r>
      <w:r>
        <w:t xml:space="preserve"> </w:t>
      </w:r>
      <w:r>
        <w:t xml:space="preserve">When</w:t>
      </w:r>
      <w:r>
        <w:t xml:space="preserve"> </w:t>
      </w:r>
      <w:r>
        <w:t xml:space="preserve">the tool arrives with the AI coding assistant rather than with the project, no artifact under version</w:t>
      </w:r>
      <w:r>
        <w:t xml:space="preserve"> </w:t>
      </w:r>
      <w:r>
        <w:t xml:space="preserve">control records its presence.</w:t>
      </w:r>
    </w:p>
    <w:p>
      <w:pPr>
        <w:pStyle w:val="BodyText"/>
      </w:pPr>
      <w:r>
        <w:t xml:space="preserve">A status claim about it can therefore be neither verified nor falsified from the repository. The</w:t>
      </w:r>
      <w:r>
        <w:t xml:space="preserve"> </w:t>
      </w:r>
      <w:r>
        <w:t xml:space="preserve">honest entry is no status at all -- not "built", not "enabled". This one is easy to get wrong by</w:t>
      </w:r>
      <w:r>
        <w:t xml:space="preserve"> </w:t>
      </w:r>
      <w:r>
        <w:t xml:space="preserve">accident, because the tool is plainly doing useful work.</w:t>
      </w:r>
    </w:p>
    <w:bookmarkEnd w:id="44"/>
    <w:bookmarkStart w:id="45" w:name="X551e6e2df0d6fccfd0169d5dffc8a5d8c0df508"/>
    <w:p>
      <w:pPr>
        <w:pStyle w:val="Heading3"/>
      </w:pPr>
      <w:r>
        <w:t xml:space="preserve">Tell an applying tool which duplication is deliberate</w:t>
      </w:r>
    </w:p>
    <w:p>
      <w:pPr>
        <w:pStyle w:val="FirstParagraph"/>
      </w:pPr>
      <w:r>
        <w:t xml:space="preserve">A tool that rewrites for reuse will collapse repetition that exists on purpose, and collapsing it</w:t>
      </w:r>
      <w:r>
        <w:t xml:space="preserve"> </w:t>
      </w:r>
      <w:r>
        <w:t xml:space="preserve">undoes a decision someone made for reasons.</w:t>
      </w:r>
    </w:p>
    <w:p>
      <w:pPr>
        <w:pStyle w:val="BodyText"/>
      </w:pPr>
      <w:r>
        <w:t xml:space="preserve">Carry the 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list. The closed form is</w:t>
      </w:r>
      <w:r>
        <w:t xml:space="preserve"> </w:t>
      </w:r>
      <w:r>
        <w:t xml:space="preserve">what fails: a list of exactly two cases went to review,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7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7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7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5"/>
    <w:bookmarkStart w:id="47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basis.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</w:t>
      </w:r>
    </w:p>
    <w:p>
      <w:pPr>
        <w:pStyle w:val="BodyText"/>
      </w:pPr>
      <w:r>
        <w:t xml:space="preserve">The general rule is already stated as</w:t>
      </w:r>
      <w:r>
        <w:t xml:space="preserve"> </w:t>
      </w:r>
      <w:hyperlink r:id="rId46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7"/>
    <w:bookmarkStart w:id="49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</w:t>
      </w:r>
    </w:p>
    <w:p>
      <w:pPr>
        <w:pStyle w:val="BodyText"/>
      </w:pPr>
      <w:r>
        <w:t xml:space="preserve">One later review found three defects across two of five measurement gates, all green throughout: two</w:t>
      </w:r>
      <w:r>
        <w:t xml:space="preserve"> </w:t>
      </w:r>
      <w:r>
        <w:t xml:space="preserve">gates measuring nothing, and one measuring correctly while publishing a wrong derived number. One of</w:t>
      </w:r>
      <w:r>
        <w:t xml:space="preserve"> </w:t>
      </w:r>
      <w:r>
        <w:t xml:space="preserve">them had been scored built across two published versions of the rubric while producing zero units of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8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8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8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8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8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9"/>
    <w:bookmarkStart w:id="50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change.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50"/>
    <w:bookmarkStart w:id="51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51"/>
    <w:bookmarkStart w:id="53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requirement. A hash-pinned toolchain</w:t>
      </w:r>
      <w:r>
        <w:t xml:space="preserve"> </w:t>
      </w:r>
      <w:r>
        <w:t xml:space="preserve">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 unpatched</w:t>
      </w:r>
      <w:r>
        <w:t xml:space="preserve"> </w:t>
      </w:r>
      <w:r>
        <w:t xml:space="preserve">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locks. Assert that it cannot leak into the runtime</w:t>
      </w:r>
      <w:r>
        <w:t xml:space="preserve"> </w:t>
      </w:r>
      <w:r>
        <w:t xml:space="preserve">install set.</w:t>
      </w:r>
    </w:p>
    <w:p>
      <w:pPr>
        <w:pStyle w:val="BodyText"/>
      </w:pPr>
      <w:r>
        <w:rPr>
          <w:i/>
          <w:iCs/>
        </w:rPr>
        <w:t xml:space="preserve">The declaration mechanism -- a non-default dependency group, an optional extra, a separate lock</w:t>
      </w:r>
      <w:r>
        <w:rPr>
          <w:i/>
          <w:iCs/>
        </w:rPr>
        <w:t xml:space="preserve"> </w:t>
      </w:r>
      <w:r>
        <w:rPr>
          <w:i/>
          <w:iCs/>
        </w:rPr>
        <w:t xml:space="preserve">file -- is ecosystem-specific. Check what yours actually guarantees rather than assuming a version</w:t>
      </w:r>
      <w:r>
        <w:rPr>
          <w:i/>
          <w:iCs/>
        </w:rPr>
        <w:t xml:space="preserve"> </w:t>
      </w:r>
      <w:r>
        <w:rPr>
          <w:i/>
          <w:iCs/>
        </w:rPr>
        <w:t xml:space="preserve">pin is a digest pin.</w:t>
      </w:r>
    </w:p>
    <w:p>
      <w:pPr>
        <w:pStyle w:val="BodyText"/>
      </w:pPr>
      <w:r>
        <w:t xml:space="preserve">The general rule is</w:t>
      </w:r>
      <w:r>
        <w:t xml:space="preserve"> </w:t>
      </w:r>
      <w:hyperlink r:id="rId52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53"/>
    <w:bookmarkStart w:id="55" w:name="Xc62112f73f7d2e1f495818af037474d28051436"/>
    <w:p>
      <w:pPr>
        <w:pStyle w:val="Heading3"/>
      </w:pPr>
      <w:r>
        <w:t xml:space="preserve">Widen a blocking lint ruleset from a clean baseline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54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5"/>
    <w:bookmarkStart w:id="56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classification. The expensive read is aimed at the fraction that earns it,</w:t>
      </w:r>
      <w:r>
        <w:t xml:space="preserve"> </w:t>
      </w:r>
      <w:r>
        <w:t xml:space="preserve">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site.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9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generalize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initialized state registered?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61"/>
    <w:bookmarkStart w:id="63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1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1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1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1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1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1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1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62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63"/>
    <w:bookmarkStart w:id="64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satisfied.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 exactly</w:t>
      </w:r>
      <w:r>
        <w:t xml:space="preserve"> </w:t>
      </w:r>
      <w:r>
        <w:t xml:space="preserve">when the author reviews their own machine-assisted output. That makes</w:t>
      </w:r>
      <w:r>
        <w:t xml:space="preserve"> </w:t>
      </w:r>
      <w:r>
        <w:rPr>
          <w:b/>
          <w:bCs/>
        </w:rPr>
        <w:t xml:space="preserve">mutation on changed code</w:t>
      </w:r>
      <w:r>
        <w:t xml:space="preserve"> </w:t>
      </w:r>
      <w:r>
        <w:t xml:space="preserve">the highest-leverage gate to build first. It is the one control that adversarially checks whether</w:t>
      </w:r>
      <w:r>
        <w:t xml:space="preserve"> </w:t>
      </w:r>
      <w:r>
        <w:t xml:space="preserve">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64"/>
    <w:bookmarkStart w:id="65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2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2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labeled project-set rather than evidence-certified.</w:t>
      </w:r>
    </w:p>
    <w:p>
      <w:pPr>
        <w:pStyle w:val="Compact"/>
        <w:numPr>
          <w:ilvl w:val="0"/>
          <w:numId w:val="1012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2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2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</w:t>
      </w:r>
    </w:p>
    <w:p>
      <w:pPr>
        <w:pStyle w:val="BodyText"/>
      </w:pPr>
      <w:r>
        <w:t xml:space="preserve">If a number will be quoted elsewhere, freeze it. If you must renumber, say which identifier families</w:t>
      </w:r>
      <w:r>
        <w:t xml:space="preserve"> </w:t>
      </w:r>
      <w:r>
        <w:t xml:space="preserve">are frozen and which 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5"/>
    <w:bookmarkStart w:id="66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artifact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71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4"/>
        </w:numPr>
      </w:pPr>
      <w:hyperlink r:id="rId5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artifacts, and the claim-honesty register</w:t>
      </w:r>
    </w:p>
    <w:p>
      <w:pPr>
        <w:pStyle w:val="Compact"/>
        <w:numPr>
          <w:ilvl w:val="0"/>
          <w:numId w:val="1014"/>
        </w:numPr>
      </w:pPr>
      <w:hyperlink r:id="rId67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4"/>
        </w:numPr>
      </w:pPr>
      <w:hyperlink r:id="rId68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p>
      <w:pPr>
        <w:pStyle w:val="Compact"/>
        <w:numPr>
          <w:ilvl w:val="0"/>
          <w:numId w:val="1014"/>
        </w:numPr>
      </w:pPr>
      <w:hyperlink r:id="rId69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4"/>
        </w:numPr>
      </w:pPr>
      <w:hyperlink r:id="rId70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9" Target="../ASVS-ASSESSMENT.md" TargetMode="External" /><Relationship Type="http://schemas.openxmlformats.org/officeDocument/2006/relationships/hyperlink" Id="rId68" Target="../CASE-STUDY-drift-audit.md" TargetMode="External" /><Relationship Type="http://schemas.openxmlformats.org/officeDocument/2006/relationships/hyperlink" Id="rId58" Target="../CI-AND-STANDARDS.md" TargetMode="External" /><Relationship Type="http://schemas.openxmlformats.org/officeDocument/2006/relationships/hyperlink" Id="rId48" Target="../CI-AND-STANDARDS.md#a-check-that-cannot-fail-is-not-a-control" TargetMode="External" /><Relationship Type="http://schemas.openxmlformats.org/officeDocument/2006/relationships/hyperlink" Id="rId46" Target="../CI-AND-STANDARDS.md#a-cost-model-built-on-a-broken-gate-is-fiction" TargetMode="External" /><Relationship Type="http://schemas.openxmlformats.org/officeDocument/2006/relationships/hyperlink" Id="rId62" Target="../CI-AND-STANDARDS.md#blocking-and-advisory-are-not-the-same-coverage" TargetMode="External" /><Relationship Type="http://schemas.openxmlformats.org/officeDocument/2006/relationships/hyperlink" Id="rId52" Target="../CI-AND-STANDARDS.md#constrain-every-install-site-from-a-checked-in-lock" TargetMode="External" /><Relationship Type="http://schemas.openxmlformats.org/officeDocument/2006/relationships/hyperlink" Id="rId40" Target="../CI-AND-STANDARDS.md#enumerate-sibling-paths-for-every-control" TargetMode="External" /><Relationship Type="http://schemas.openxmlformats.org/officeDocument/2006/relationships/hyperlink" Id="rId54" Target="../CI-AND-STANDARDS.md#grandfather-to-a-clean-baseline-then-ratchet" TargetMode="External" /><Relationship Type="http://schemas.openxmlformats.org/officeDocument/2006/relationships/hyperlink" Id="rId22" Target="../CI-AND-STANDARDS.md#judge-tests-by-their-assertions-not-their-presence-or-their-coverage" TargetMode="External" /><Relationship Type="http://schemas.openxmlformats.org/officeDocument/2006/relationships/hyperlink" Id="rId21" Target="../CI-AND-STANDARDS.md#never-gate-on-a-single-gameable-number" TargetMode="External" /><Relationship Type="http://schemas.openxmlformats.org/officeDocument/2006/relationships/hyperlink" Id="rId24" Target="../CI-AND-STANDARDS.md#one-coherent-layer-per-commit" TargetMode="External" /><Relationship Type="http://schemas.openxmlformats.org/officeDocument/2006/relationships/hyperlink" Id="rId42" Target="../CI-AND-STANDARDS.md#one-gate-command-three-call-sites" TargetMode="External" /><Relationship Type="http://schemas.openxmlformats.org/officeDocument/2006/relationships/hyperlink" Id="rId18" Target="../CI-AND-STANDARDS.md#package-manifests-are-allowlists-not-sweeps" TargetMode="External" /><Relationship Type="http://schemas.openxmlformats.org/officeDocument/2006/relationships/hyperlink" Id="rId16" Target="../CI-AND-STANDARDS.md#receipts-count-what-the-check-examined-never-what-it-found" TargetMode="External" /><Relationship Type="http://schemas.openxmlformats.org/officeDocument/2006/relationships/hyperlink" Id="rId37" Target="../CI-AND-STANDARDS.md#run-a-refutation-pass-on-any-number-you-are-about-to-build-a-rule-on" TargetMode="External" /><Relationship Type="http://schemas.openxmlformats.org/officeDocument/2006/relationships/hyperlink" Id="rId14" Target="../CI-AND-STANDARDS.md#there-is-no-validated-universal-threshold" TargetMode="External" /><Relationship Type="http://schemas.openxmlformats.org/officeDocument/2006/relationships/hyperlink" Id="rId34" Target="../CI-AND-STANDARDS.md#verify-a-dependency-before-adding-it-and-know-what-verification-cannot-see" TargetMode="External" /><Relationship Type="http://schemas.openxmlformats.org/officeDocument/2006/relationships/hyperlink" Id="rId70" Target="../LEAK-GATE.md" TargetMode="External" /><Relationship Type="http://schemas.openxmlformats.org/officeDocument/2006/relationships/hyperlink" Id="rId67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9" Target="https://arxiv.org/abs/1908.11590" TargetMode="External" /><Relationship Type="http://schemas.openxmlformats.org/officeDocument/2006/relationships/hyperlink" Id="rId27" Target="https://arxiv.org/abs/1912.01142" TargetMode="External" /><Relationship Type="http://schemas.openxmlformats.org/officeDocument/2006/relationships/hyperlink" Id="rId31" Target="https://arxiv.org/abs/2211.03622" TargetMode="External" /><Relationship Type="http://schemas.openxmlformats.org/officeDocument/2006/relationships/hyperlink" Id="rId28" Target="https://doi.org/10.1016/j.jss.2022.111561" TargetMode="External" /><Relationship Type="http://schemas.openxmlformats.org/officeDocument/2006/relationships/hyperlink" Id="rId30" Target="https://doi.org/10.1145/3180155.3180183" TargetMode="External" /><Relationship Type="http://schemas.openxmlformats.org/officeDocument/2006/relationships/hyperlink" Id="rId33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32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../ASVS-ASSESSMENT.md" TargetMode="External" /><Relationship Type="http://schemas.openxmlformats.org/officeDocument/2006/relationships/hyperlink" Id="rId68" Target="../CASE-STUDY-drift-audit.md" TargetMode="External" /><Relationship Type="http://schemas.openxmlformats.org/officeDocument/2006/relationships/hyperlink" Id="rId58" Target="../CI-AND-STANDARDS.md" TargetMode="External" /><Relationship Type="http://schemas.openxmlformats.org/officeDocument/2006/relationships/hyperlink" Id="rId48" Target="../CI-AND-STANDARDS.md#a-check-that-cannot-fail-is-not-a-control" TargetMode="External" /><Relationship Type="http://schemas.openxmlformats.org/officeDocument/2006/relationships/hyperlink" Id="rId46" Target="../CI-AND-STANDARDS.md#a-cost-model-built-on-a-broken-gate-is-fiction" TargetMode="External" /><Relationship Type="http://schemas.openxmlformats.org/officeDocument/2006/relationships/hyperlink" Id="rId62" Target="../CI-AND-STANDARDS.md#blocking-and-advisory-are-not-the-same-coverage" TargetMode="External" /><Relationship Type="http://schemas.openxmlformats.org/officeDocument/2006/relationships/hyperlink" Id="rId52" Target="../CI-AND-STANDARDS.md#constrain-every-install-site-from-a-checked-in-lock" TargetMode="External" /><Relationship Type="http://schemas.openxmlformats.org/officeDocument/2006/relationships/hyperlink" Id="rId40" Target="../CI-AND-STANDARDS.md#enumerate-sibling-paths-for-every-control" TargetMode="External" /><Relationship Type="http://schemas.openxmlformats.org/officeDocument/2006/relationships/hyperlink" Id="rId54" Target="../CI-AND-STANDARDS.md#grandfather-to-a-clean-baseline-then-ratchet" TargetMode="External" /><Relationship Type="http://schemas.openxmlformats.org/officeDocument/2006/relationships/hyperlink" Id="rId22" Target="../CI-AND-STANDARDS.md#judge-tests-by-their-assertions-not-their-presence-or-their-coverage" TargetMode="External" /><Relationship Type="http://schemas.openxmlformats.org/officeDocument/2006/relationships/hyperlink" Id="rId21" Target="../CI-AND-STANDARDS.md#never-gate-on-a-single-gameable-number" TargetMode="External" /><Relationship Type="http://schemas.openxmlformats.org/officeDocument/2006/relationships/hyperlink" Id="rId24" Target="../CI-AND-STANDARDS.md#one-coherent-layer-per-commit" TargetMode="External" /><Relationship Type="http://schemas.openxmlformats.org/officeDocument/2006/relationships/hyperlink" Id="rId42" Target="../CI-AND-STANDARDS.md#one-gate-command-three-call-sites" TargetMode="External" /><Relationship Type="http://schemas.openxmlformats.org/officeDocument/2006/relationships/hyperlink" Id="rId18" Target="../CI-AND-STANDARDS.md#package-manifests-are-allowlists-not-sweeps" TargetMode="External" /><Relationship Type="http://schemas.openxmlformats.org/officeDocument/2006/relationships/hyperlink" Id="rId16" Target="../CI-AND-STANDARDS.md#receipts-count-what-the-check-examined-never-what-it-found" TargetMode="External" /><Relationship Type="http://schemas.openxmlformats.org/officeDocument/2006/relationships/hyperlink" Id="rId37" Target="../CI-AND-STANDARDS.md#run-a-refutation-pass-on-any-number-you-are-about-to-build-a-rule-on" TargetMode="External" /><Relationship Type="http://schemas.openxmlformats.org/officeDocument/2006/relationships/hyperlink" Id="rId14" Target="../CI-AND-STANDARDS.md#there-is-no-validated-universal-threshold" TargetMode="External" /><Relationship Type="http://schemas.openxmlformats.org/officeDocument/2006/relationships/hyperlink" Id="rId34" Target="../CI-AND-STANDARDS.md#verify-a-dependency-before-adding-it-and-know-what-verification-cannot-see" TargetMode="External" /><Relationship Type="http://schemas.openxmlformats.org/officeDocument/2006/relationships/hyperlink" Id="rId70" Target="../LEAK-GATE.md" TargetMode="External" /><Relationship Type="http://schemas.openxmlformats.org/officeDocument/2006/relationships/hyperlink" Id="rId67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9" Target="https://arxiv.org/abs/1908.11590" TargetMode="External" /><Relationship Type="http://schemas.openxmlformats.org/officeDocument/2006/relationships/hyperlink" Id="rId27" Target="https://arxiv.org/abs/1912.01142" TargetMode="External" /><Relationship Type="http://schemas.openxmlformats.org/officeDocument/2006/relationships/hyperlink" Id="rId31" Target="https://arxiv.org/abs/2211.03622" TargetMode="External" /><Relationship Type="http://schemas.openxmlformats.org/officeDocument/2006/relationships/hyperlink" Id="rId28" Target="https://doi.org/10.1016/j.jss.2022.111561" TargetMode="External" /><Relationship Type="http://schemas.openxmlformats.org/officeDocument/2006/relationships/hyperlink" Id="rId30" Target="https://doi.org/10.1145/3180155.3180183" TargetMode="External" /><Relationship Type="http://schemas.openxmlformats.org/officeDocument/2006/relationships/hyperlink" Id="rId33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32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2026-08-07T05:19:41Z</dcterms:created>
  <dcterms:modified xsi:type="dcterms:W3CDTF">2026-08-07T05:19:41Z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