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7" w:name="X22dea6421227186263cd6f68b1cc06e555c4395"/>
    <w:p>
      <w:pPr>
        <w:pStyle w:val="Heading1"/>
      </w:pPr>
      <w:r>
        <w:t xml:space="preserve">Secure development: a starting point for your own standard</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t xml:space="preserve">This is a starting point for your own secure development standard, not a standard to comply with</w:t>
      </w:r>
      <w:r>
        <w:t xml:space="preserve"> </w:t>
      </w:r>
      <w:r>
        <w:t xml:space="preserve">and not a compliance attestation. Copy it, cut what your project does not have, and publish the</w:t>
      </w:r>
      <w:r>
        <w:t xml:space="preserve"> </w:t>
      </w:r>
      <w:r>
        <w:t xml:space="preserve">result under your own name.</w:t>
      </w:r>
      <w:r>
        <w:t xml:space="preserve"> </w:t>
      </w:r>
      <w:hyperlink w:anchor="adapting-this-to-your-project">
        <w:r>
          <w:rPr>
            <w:rStyle w:val="Hyperlink"/>
          </w:rPr>
          <w:t xml:space="preserve">Adapting this to your project</w:t>
        </w:r>
      </w:hyperlink>
      <w:r>
        <w:t xml:space="preserve"> </w:t>
      </w:r>
      <w:r>
        <w:t xml:space="preserve">is the guide to doing that: what you</w:t>
      </w:r>
      <w:r>
        <w:t xml:space="preserve"> </w:t>
      </w:r>
      <w:r>
        <w:t xml:space="preserve">may change freely, and the shorter list that stops being a control the moment you weaken it.</w:t>
      </w:r>
    </w:p>
    <w:p>
      <w:pPr>
        <w:pStyle w:val="BodyText"/>
      </w:pPr>
      <w:r>
        <w:t xml:space="preserve">What you are adapting is a finished process rather than an outline -- the process a build has to</w:t>
      </w:r>
      <w:r>
        <w:t xml:space="preserve"> </w:t>
      </w:r>
      <w:r>
        <w:t xml:space="preserve">satisfy before you can honestly say it was built securely. It answers who owns what, what gets</w:t>
      </w:r>
      <w:r>
        <w:t xml:space="preserve"> </w:t>
      </w:r>
      <w:r>
        <w:t xml:space="preserve">threat modelled, and what a review checks. It also answers which checks may never be waived, how a</w:t>
      </w:r>
      <w:r>
        <w:t xml:space="preserve"> </w:t>
      </w:r>
      <w:r>
        <w:t xml:space="preserve">release is signed and verifiable, and what has to be true on the day you ship. The work is editing</w:t>
      </w:r>
      <w:r>
        <w:t xml:space="preserve"> </w:t>
      </w:r>
      <w:r>
        <w:t xml:space="preserve">something down to your project, not drafting one from nothing.</w:t>
      </w:r>
    </w:p>
    <w:p>
      <w:pPr>
        <w:pStyle w:val="BodyText"/>
      </w:pPr>
      <w:r>
        <w:t xml:space="preserve">Written for a project where much of the code is written by Claude Code, or another AI coding</w:t>
      </w:r>
      <w:r>
        <w:t xml:space="preserve"> </w:t>
      </w:r>
      <w:r>
        <w:t xml:space="preserve">assistant, and several sessions push into one trunk. That is not a special case for this material.</w:t>
      </w:r>
      <w:r>
        <w:t xml:space="preserve"> </w:t>
      </w:r>
      <w:r>
        <w:t xml:space="preserve">It is the case where the process layer stops being paperwork, because the machine-enforced layer</w:t>
      </w:r>
      <w:r>
        <w:t xml:space="preserve"> </w:t>
      </w:r>
      <w:r>
        <w:t xml:space="preserve">gets cheap and the human layer does not.</w:t>
      </w:r>
    </w:p>
    <w:p>
      <w:pPr>
        <w:pStyle w:val="BodyText"/>
      </w:pPr>
      <w:r>
        <w:rPr>
          <w:b/>
          <w:bCs/>
        </w:rPr>
        <w:t xml:space="preserve">What it demands.</w:t>
      </w:r>
      <w:r>
        <w:t xml:space="preserve"> </w:t>
      </w:r>
      <w:r>
        <w:t xml:space="preserve">Judge a build's security as a composite of two layers. Never on one row of</w:t>
      </w:r>
      <w:r>
        <w:t xml:space="preserve"> </w:t>
      </w:r>
      <w:r>
        <w:t xml:space="preserve">either --</w:t>
      </w:r>
      <w:r>
        <w:t xml:space="preserve"> </w:t>
      </w:r>
      <w:hyperlink w:anchor="X72e8a7b0eb017be1b6be4ce9a7aa4c29f34647f">
        <w:r>
          <w:rPr>
            <w:rStyle w:val="Hyperlink"/>
          </w:rPr>
          <w:t xml:space="preserve">the shape</w:t>
        </w:r>
      </w:hyperlink>
      <w:r>
        <w:t xml:space="preserve"> </w:t>
      </w:r>
      <w:r>
        <w:t xml:space="preserve">says what is in</w:t>
      </w:r>
      <w:r>
        <w:t xml:space="preserve"> </w:t>
      </w:r>
      <w:r>
        <w:t xml:space="preserve">each. A named set of checks blocks every change and cannot be waived by an author. Every trust</w:t>
      </w:r>
      <w:r>
        <w:t xml:space="preserve"> </w:t>
      </w:r>
      <w:r>
        <w:t xml:space="preserve">boundary gets a written threat model, reviewed before the code exists. Every requirement you cannot</w:t>
      </w:r>
      <w:r>
        <w:t xml:space="preserve"> </w:t>
      </w:r>
      <w:r>
        <w:t xml:space="preserve">meet is written down, dated, signed, and carries the event that ends it. No green pipeline is a</w:t>
      </w:r>
      <w:r>
        <w:t xml:space="preserve"> </w:t>
      </w:r>
      <w:r>
        <w:t xml:space="preserve">verdict.</w:t>
      </w:r>
    </w:p>
    <w:p>
      <w:pPr>
        <w:pStyle w:val="BodyText"/>
      </w:pPr>
      <w:r>
        <w:rPr>
          <w:b/>
          <w:bCs/>
        </w:rPr>
        <w:t xml:space="preserve">What it costs.</w:t>
      </w:r>
      <w:r>
        <w:t xml:space="preserve"> </w:t>
      </w:r>
      <w:r>
        <w:t xml:space="preserve">Calendar time where automation does not reach, controls you must not claim</w:t>
      </w:r>
      <w:r>
        <w:t xml:space="preserve"> </w:t>
      </w:r>
      <w:r>
        <w:t xml:space="preserve">because you do not own them, and a gap you cannot close by working harder.</w:t>
      </w:r>
      <w:r>
        <w:t xml:space="preserve"> </w:t>
      </w:r>
      <w:hyperlink w:anchor="what-this-costs-you">
        <w:r>
          <w:rPr>
            <w:rStyle w:val="Hyperlink"/>
          </w:rPr>
          <w:t xml:space="preserve">What this costs you</w:t>
        </w:r>
      </w:hyperlink>
      <w:r>
        <w:t xml:space="preserve"> </w:t>
      </w:r>
      <w:r>
        <w:t xml:space="preserve">is the list, and it is short.</w:t>
      </w:r>
    </w:p>
    <w:p>
      <w:pPr>
        <w:pStyle w:val="BodyText"/>
      </w:pPr>
      <w:r>
        <w:t xml:space="preserve">It is deliberately framework-neutral, and it names practices, never certifications. No standards</w:t>
      </w:r>
      <w:r>
        <w:t xml:space="preserve"> </w:t>
      </w:r>
      <w:r>
        <w:t xml:space="preserve">body issues a certificate for any of this, and a self-assessment is not one either. So every claim</w:t>
      </w:r>
      <w:r>
        <w:t xml:space="preserve"> </w:t>
      </w:r>
      <w:r>
        <w:t xml:space="preserve">here is phrased as something you can evidence rather than something you can be awarded.</w:t>
      </w:r>
    </w:p>
    <w:p>
      <w:pPr>
        <w:pStyle w:val="BodyText"/>
      </w:pPr>
      <w:r>
        <w:t xml:space="preserve">Where to start. The ownership split in</w:t>
      </w:r>
      <w:r>
        <w:t xml:space="preserve"> </w:t>
      </w:r>
      <w:hyperlink w:anchor="Xf8794b0126bc78285fb10778097a0695650e57d">
        <w:r>
          <w:rPr>
            <w:rStyle w:val="Hyperlink"/>
          </w:rPr>
          <w:t xml:space="preserve">section 1</w:t>
        </w:r>
      </w:hyperlink>
      <w:r>
        <w:t xml:space="preserve">, then the data-class table under</w:t>
      </w:r>
      <w:r>
        <w:t xml:space="preserve"> </w:t>
      </w:r>
      <w:r>
        <w:t xml:space="preserve">it.</w:t>
      </w:r>
      <w:r>
        <w:t xml:space="preserve"> </w:t>
      </w:r>
      <w:hyperlink w:anchor="how-to-adopt-this">
        <w:r>
          <w:rPr>
            <w:rStyle w:val="Hyperlink"/>
          </w:rPr>
          <w:t xml:space="preserve">How to adopt this</w:t>
        </w:r>
      </w:hyperlink>
      <w:r>
        <w:t xml:space="preserve"> </w:t>
      </w:r>
      <w:r>
        <w:t xml:space="preserve">sets the rest of the order, and</w:t>
      </w:r>
      <w:r>
        <w:t xml:space="preserve"> </w:t>
      </w:r>
      <w:hyperlink w:anchor="in-one-table">
        <w:r>
          <w:rPr>
            <w:rStyle w:val="Hyperlink"/>
          </w:rPr>
          <w:t xml:space="preserve">In one table</w:t>
        </w:r>
      </w:hyperlink>
      <w:r>
        <w:t xml:space="preserve"> </w:t>
      </w:r>
      <w:r>
        <w:t xml:space="preserve">is the summary.</w:t>
      </w:r>
    </w:p>
    <w:p>
      <w:pPr>
        <w:pStyle w:val="BodyText"/>
      </w:pPr>
      <w:r>
        <w:t xml:space="preserve">For where a rule was borrowed from, and what the bracketed marks on some rules mean, see</w:t>
      </w:r>
      <w:r>
        <w:t xml:space="preserve"> </w:t>
      </w:r>
      <w:hyperlink w:anchor="where-the-rules-come-from">
        <w:r>
          <w:rPr>
            <w:rStyle w:val="Hyperlink"/>
          </w:rPr>
          <w:t xml:space="preserve">Where the rules come from</w:t>
        </w:r>
      </w:hyperlink>
      <w:r>
        <w:t xml:space="preserve">.</w:t>
      </w:r>
    </w:p>
    <w:p>
      <w:r>
        <w:pict>
          <v:rect style="width:0;height:1.5pt" o:hralign="center" o:hrstd="t" o:hr="t"/>
        </w:pict>
      </w:r>
    </w:p>
    <w:bookmarkEnd w:id="12"/>
    <w:bookmarkStart w:id="13" w:name="what-you-get"/>
    <w:p>
      <w:pPr>
        <w:pStyle w:val="Heading2"/>
      </w:pPr>
      <w:r>
        <w:t xml:space="preserve">What you get</w:t>
      </w:r>
    </w:p>
    <w:p>
      <w:pPr>
        <w:pStyle w:val="Compact"/>
        <w:numPr>
          <w:ilvl w:val="0"/>
          <w:numId w:val="1001"/>
        </w:numPr>
      </w:pPr>
      <w:r>
        <w:t xml:space="preserve">A written ownership split. One table saying what the producing project owns and what the</w:t>
      </w:r>
      <w:r>
        <w:t xml:space="preserve"> </w:t>
      </w:r>
      <w:r>
        <w:t xml:space="preserve">operating organization owns, so a control cannot end up unowned because each side assumed the</w:t>
      </w:r>
      <w:r>
        <w:t xml:space="preserve"> </w:t>
      </w:r>
      <w:r>
        <w:t xml:space="preserve">other had it.</w:t>
      </w:r>
    </w:p>
    <w:p>
      <w:pPr>
        <w:pStyle w:val="Compact"/>
        <w:numPr>
          <w:ilvl w:val="0"/>
          <w:numId w:val="1001"/>
        </w:numPr>
      </w:pPr>
      <w:r>
        <w:t xml:space="preserve">Review with something to check against. A per-boundary threat model turns "does this change</w:t>
      </w:r>
      <w:r>
        <w:t xml:space="preserve"> </w:t>
      </w:r>
      <w:r>
        <w:t xml:space="preserve">look secure" into "which boundary does this touch, and does its named mitigation still hold". A</w:t>
      </w:r>
      <w:r>
        <w:t xml:space="preserve"> </w:t>
      </w:r>
      <w:r>
        <w:t xml:space="preserve">missing control then shows up as a gap in an enumeration rather than as something nobody thought</w:t>
      </w:r>
      <w:r>
        <w:t xml:space="preserve"> </w:t>
      </w:r>
      <w:r>
        <w:t xml:space="preserve">of.</w:t>
      </w:r>
    </w:p>
    <w:p>
      <w:pPr>
        <w:pStyle w:val="Compact"/>
        <w:numPr>
          <w:ilvl w:val="0"/>
          <w:numId w:val="1001"/>
        </w:numPr>
      </w:pPr>
      <w:r>
        <w:t xml:space="preserve">A finite secure-coding list. A reviewer, human or automated, gets a bounded set of questions</w:t>
      </w:r>
      <w:r>
        <w:t xml:space="preserve"> </w:t>
      </w:r>
      <w:r>
        <w:t xml:space="preserve">instead of an unanswerable one.</w:t>
      </w:r>
    </w:p>
    <w:p>
      <w:pPr>
        <w:pStyle w:val="Compact"/>
        <w:numPr>
          <w:ilvl w:val="0"/>
          <w:numId w:val="1001"/>
        </w:numPr>
      </w:pPr>
      <w:r>
        <w:t xml:space="preserve">An honest read of your own pipeline. Two layers, weighted differently, with a plain statement</w:t>
      </w:r>
      <w:r>
        <w:t xml:space="preserve"> </w:t>
      </w:r>
      <w:r>
        <w:t xml:space="preserve">of what a green run has and has not established. Effort goes to the layer that is actually</w:t>
      </w:r>
      <w:r>
        <w:t xml:space="preserve"> </w:t>
      </w:r>
      <w:r>
        <w:t xml:space="preserve">missing rather than to a ninth scanner.</w:t>
      </w:r>
    </w:p>
    <w:p>
      <w:pPr>
        <w:pStyle w:val="Compact"/>
        <w:numPr>
          <w:ilvl w:val="0"/>
          <w:numId w:val="1001"/>
        </w:numPr>
      </w:pPr>
      <w:r>
        <w:t xml:space="preserve">A release gate that is a checklist, not a debate. Defined pass and fail conditions, so the</w:t>
      </w:r>
      <w:r>
        <w:t xml:space="preserve"> </w:t>
      </w:r>
      <w:r>
        <w:t xml:space="preserve">conditions under which you shipped are recoverable afterwards.</w:t>
      </w:r>
    </w:p>
    <w:p>
      <w:pPr>
        <w:pStyle w:val="Compact"/>
        <w:numPr>
          <w:ilvl w:val="0"/>
          <w:numId w:val="1001"/>
        </w:numPr>
      </w:pPr>
      <w:r>
        <w:t xml:space="preserve">Artifacts an adopter can verify without trusting your description of your process -- build</w:t>
      </w:r>
      <w:r>
        <w:t xml:space="preserve"> </w:t>
      </w:r>
      <w:r>
        <w:t xml:space="preserve">provenance, an attestation over the artifact digest, a component inventory, a published digest</w:t>
      </w:r>
      <w:r>
        <w:t xml:space="preserve"> </w:t>
      </w:r>
      <w:r>
        <w:t xml:space="preserve">manifest with the offline verification path documented.</w:t>
      </w:r>
    </w:p>
    <w:p>
      <w:pPr>
        <w:pStyle w:val="Compact"/>
        <w:numPr>
          <w:ilvl w:val="0"/>
          <w:numId w:val="1001"/>
        </w:numPr>
      </w:pPr>
      <w:r>
        <w:t xml:space="preserve">A posture you can publish when you cannot meet every requirement. Dated deviations, named</w:t>
      </w:r>
      <w:r>
        <w:t xml:space="preserve"> </w:t>
      </w:r>
      <w:r>
        <w:t xml:space="preserve">compensating controls, and a trigger that ends each one -- instead of either overclaiming or</w:t>
      </w:r>
      <w:r>
        <w:t xml:space="preserve"> </w:t>
      </w:r>
      <w:r>
        <w:t xml:space="preserve">quietly having a gap.</w:t>
      </w:r>
    </w:p>
    <w:p>
      <w:pPr>
        <w:pStyle w:val="Compact"/>
        <w:numPr>
          <w:ilvl w:val="0"/>
          <w:numId w:val="1001"/>
        </w:numPr>
      </w:pPr>
      <w:r>
        <w:t xml:space="preserve">Wording that survives a reviewer. Phrases you can use, phrases you cannot, and the reason, so</w:t>
      </w:r>
      <w:r>
        <w:t xml:space="preserve"> </w:t>
      </w:r>
      <w:r>
        <w:t xml:space="preserve">publishing a security page does not accidentally assert a certification that does not exist.</w:t>
      </w:r>
    </w:p>
    <w:bookmarkEnd w:id="13"/>
    <w:bookmarkStart w:id="15" w:name="what-this-costs-you"/>
    <w:p>
      <w:pPr>
        <w:pStyle w:val="Heading2"/>
      </w:pPr>
      <w:r>
        <w:t xml:space="preserve">What this costs you</w:t>
      </w:r>
    </w:p>
    <w:p>
      <w:pPr>
        <w:pStyle w:val="Compact"/>
        <w:numPr>
          <w:ilvl w:val="0"/>
          <w:numId w:val="1002"/>
        </w:numPr>
      </w:pPr>
      <w:r>
        <w:t xml:space="preserve">Calendar time in two places that resist automation. Threat modeling happens before the build,</w:t>
      </w:r>
      <w:r>
        <w:t xml:space="preserve"> </w:t>
      </w:r>
      <w:r>
        <w:t xml:space="preserve">and vulnerability response has to be rehearsed end to end at least once. Neither can be discharged</w:t>
      </w:r>
      <w:r>
        <w:t xml:space="preserve"> </w:t>
      </w:r>
      <w:r>
        <w:t xml:space="preserve">by a passing check.</w:t>
      </w:r>
    </w:p>
    <w:p>
      <w:pPr>
        <w:pStyle w:val="Compact"/>
        <w:numPr>
          <w:ilvl w:val="0"/>
          <w:numId w:val="1002"/>
        </w:numPr>
      </w:pPr>
      <w:r>
        <w:rPr>
          <w:b/>
          <w:bCs/>
        </w:rPr>
        <w:t xml:space="preserve">Controls you do not own and must not claim.</w:t>
      </w:r>
      <w:r>
        <w:t xml:space="preserve"> </w:t>
      </w:r>
      <w:r>
        <w:t xml:space="preserve">The strongest tamper controls -- file-integrity</w:t>
      </w:r>
      <w:r>
        <w:t xml:space="preserve"> </w:t>
      </w:r>
      <w:r>
        <w:t xml:space="preserve">monitoring, immutable deployment, least-privilege file ownership, signed-artifact admission</w:t>
      </w:r>
      <w:r>
        <w:t xml:space="preserve"> </w:t>
      </w:r>
      <w:r>
        <w:t xml:space="preserve">control -- belong to whoever runs the software. You can document and recommend them. Claiming them</w:t>
      </w:r>
      <w:r>
        <w:t xml:space="preserve"> </w:t>
      </w:r>
      <w:r>
        <w:t xml:space="preserve">is a defect.</w:t>
      </w:r>
    </w:p>
    <w:p>
      <w:pPr>
        <w:pStyle w:val="Compact"/>
        <w:numPr>
          <w:ilvl w:val="0"/>
          <w:numId w:val="1002"/>
        </w:numPr>
      </w:pPr>
      <w:r>
        <w:t xml:space="preserve">A gap you cannot close by working harder. Third-party source review and penetration testing are</w:t>
      </w:r>
      <w:r>
        <w:t xml:space="preserve"> </w:t>
      </w:r>
      <w:r>
        <w:t xml:space="preserve">the two controls an internally-run pipeline cannot substitute for. Developer-run dynamic testing is</w:t>
      </w:r>
      <w:r>
        <w:t xml:space="preserve"> </w:t>
      </w:r>
      <w:r>
        <w:t xml:space="preserve">not one of them --</w:t>
      </w:r>
      <w:r>
        <w:t xml:space="preserve"> </w:t>
      </w:r>
      <w:hyperlink w:anchor="Xac02c7d32d5bb277c9e44f3436addfe1b1747df">
        <w:r>
          <w:rPr>
            <w:rStyle w:val="Hyperlink"/>
          </w:rPr>
          <w:t xml:space="preserve">section 2</w:t>
        </w:r>
      </w:hyperlink>
      <w:r>
        <w:t xml:space="preserve"> </w:t>
      </w:r>
      <w:r>
        <w:t xml:space="preserve">carries the</w:t>
      </w:r>
      <w:r>
        <w:t xml:space="preserve"> </w:t>
      </w:r>
      <w:r>
        <w:t xml:space="preserve">version that costs runner minutes, and</w:t>
      </w:r>
      <w:r>
        <w:t xml:space="preserve"> </w:t>
      </w:r>
      <w:hyperlink w:anchor="X635127d1d4d4de93cff91f98240bebbfa4bd556">
        <w:r>
          <w:rPr>
            <w:rStyle w:val="Hyperlink"/>
          </w:rPr>
          <w:t xml:space="preserve">section 15</w:t>
        </w:r>
      </w:hyperlink>
      <w:r>
        <w:t xml:space="preserve"> </w:t>
      </w:r>
      <w:r>
        <w:t xml:space="preserve">records</w:t>
      </w:r>
      <w:r>
        <w:t xml:space="preserve"> </w:t>
      </w:r>
      <w:r>
        <w:t xml:space="preserve">why this list once said otherwise. In one project's planning, a single engagement at the highest</w:t>
      </w:r>
      <w:r>
        <w:t xml:space="preserve"> </w:t>
      </w:r>
      <w:r>
        <w:t xml:space="preserve">assurance tier was budgeted in the tens of thousands of currency units.</w:t>
      </w:r>
      <w:r>
        <w:t xml:space="preserve"> </w:t>
      </w:r>
      <w:r>
        <w:t xml:space="preserve">If you cannot fund it, the honest move is to say so and hold the gap under a signed acceptance --</w:t>
      </w:r>
      <w:r>
        <w:t xml:space="preserve"> </w:t>
      </w:r>
      <w:r>
        <w:t xml:space="preserve">not to let a self-assessment read as verification.</w:t>
      </w:r>
    </w:p>
    <w:p>
      <w:pPr>
        <w:pStyle w:val="Compact"/>
        <w:numPr>
          <w:ilvl w:val="0"/>
          <w:numId w:val="1002"/>
        </w:numPr>
      </w:pPr>
      <w:r>
        <w:t xml:space="preserve">No code ships with this. No workflow, no scanner configuration, no template. The mechanics</w:t>
      </w:r>
      <w:r>
        <w:t xml:space="preserve"> </w:t>
      </w:r>
      <w:r>
        <w:t xml:space="preserve">below are described so you can build them where you already run checks.</w:t>
      </w:r>
    </w:p>
    <w:bookmarkStart w:id="14" w:name="where-this-does-not-apply"/>
    <w:p>
      <w:pPr>
        <w:pStyle w:val="Heading3"/>
      </w:pPr>
      <w:r>
        <w:t xml:space="preserve">Where this does not apply</w:t>
      </w:r>
    </w:p>
    <w:p>
      <w:pPr>
        <w:pStyle w:val="Compact"/>
        <w:numPr>
          <w:ilvl w:val="0"/>
          <w:numId w:val="1003"/>
        </w:numPr>
      </w:pPr>
      <w:r>
        <w:t xml:space="preserve">Throwaway work. A spike nobody installs does not need a threat model or a release gate.</w:t>
      </w:r>
      <w:r>
        <w:t xml:space="preserve"> </w:t>
      </w:r>
      <w:r>
        <w:t xml:space="preserve">Applying the whole of this to code with no consumer is how a process gets abandoned wholesale.</w:t>
      </w:r>
    </w:p>
    <w:p>
      <w:pPr>
        <w:pStyle w:val="Compact"/>
        <w:numPr>
          <w:ilvl w:val="0"/>
          <w:numId w:val="1003"/>
        </w:numPr>
      </w:pPr>
      <w:r>
        <w:t xml:space="preserve">Anything you are not the producer of. If you operate software rather than publish it, most of</w:t>
      </w:r>
      <w:r>
        <w:t xml:space="preserve"> </w:t>
      </w:r>
      <w:r>
        <w:t xml:space="preserve">the build and release sections are somebody else's obligation and the hardening sections are</w:t>
      </w:r>
      <w:r>
        <w:t xml:space="preserve"> </w:t>
      </w:r>
      <w:r>
        <w:t xml:space="preserve">yours.</w:t>
      </w:r>
    </w:p>
    <w:p>
      <w:pPr>
        <w:pStyle w:val="Compact"/>
        <w:numPr>
          <w:ilvl w:val="0"/>
          <w:numId w:val="1003"/>
        </w:numPr>
      </w:pPr>
      <w:r>
        <w:t xml:space="preserve">As a compliance position. Building to this confers nothing on the product, on you, or on an</w:t>
      </w:r>
      <w:r>
        <w:t xml:space="preserve"> </w:t>
      </w:r>
      <w:r>
        <w:t xml:space="preserve">adopter, and it does not substitute for an adopting organization's own assessment.</w:t>
      </w:r>
    </w:p>
    <w:bookmarkEnd w:id="14"/>
    <w:bookmarkEnd w:id="15"/>
    <w:bookmarkStart w:id="16" w:name="how-to-adopt-this"/>
    <w:p>
      <w:pPr>
        <w:pStyle w:val="Heading2"/>
      </w:pPr>
      <w:r>
        <w:t xml:space="preserve">How to adopt this</w:t>
      </w:r>
    </w:p>
    <w:p>
      <w:pPr>
        <w:pStyle w:val="FirstParagraph"/>
      </w:pPr>
      <w:r>
        <w:t xml:space="preserve">Start with the ownership split</w:t>
      </w:r>
      <w:r>
        <w:t xml:space="preserve"> </w:t>
      </w:r>
      <w:r>
        <w:t xml:space="preserve">(</w:t>
      </w:r>
      <w:hyperlink w:anchor="Xf8794b0126bc78285fb10778097a0695650e57d">
        <w:r>
          <w:rPr>
            <w:rStyle w:val="Hyperlink"/>
          </w:rPr>
          <w:t xml:space="preserve">section 1</w:t>
        </w:r>
      </w:hyperlink>
      <w:r>
        <w:t xml:space="preserve">). One table, one sitting. It is</w:t>
      </w:r>
      <w:r>
        <w:t xml:space="preserve"> </w:t>
      </w:r>
      <w:r>
        <w:t xml:space="preserve">the artifact that makes every later claim scopeable, and most of the arguments it prevents are</w:t>
      </w:r>
      <w:r>
        <w:t xml:space="preserve"> </w:t>
      </w:r>
      <w:r>
        <w:t xml:space="preserve">arguments about who was supposed to do something.</w:t>
      </w:r>
    </w:p>
    <w:p>
      <w:pPr>
        <w:pStyle w:val="BodyText"/>
      </w:pPr>
      <w:r>
        <w:t xml:space="preserve">Then work in this order:</w:t>
      </w:r>
    </w:p>
    <w:p>
      <w:pPr>
        <w:pStyle w:val="Compact"/>
        <w:numPr>
          <w:ilvl w:val="0"/>
          <w:numId w:val="1004"/>
        </w:numPr>
      </w:pPr>
      <w:r>
        <w:t xml:space="preserve">Ownership split, then the data-class table.</w:t>
      </w:r>
      <w:r>
        <w:t xml:space="preserve"> </w:t>
      </w:r>
      <w:hyperlink w:anchor="Xf8794b0126bc78285fb10778097a0695650e57d">
        <w:r>
          <w:rPr>
            <w:rStyle w:val="Hyperlink"/>
          </w:rPr>
          <w:t xml:space="preserve">Section 1</w:t>
        </w:r>
      </w:hyperlink>
      <w:r>
        <w:t xml:space="preserve">. The second is another table and</w:t>
      </w:r>
      <w:r>
        <w:t xml:space="preserve"> </w:t>
      </w:r>
      <w:r>
        <w:t xml:space="preserve">another sitting, and it is what makes every later rule that says "restricted data" mean something</w:t>
      </w:r>
      <w:r>
        <w:t xml:space="preserve"> </w:t>
      </w:r>
      <w:r>
        <w:t xml:space="preserve">specific.</w:t>
      </w:r>
    </w:p>
    <w:p>
      <w:pPr>
        <w:pStyle w:val="Compact"/>
        <w:numPr>
          <w:ilvl w:val="0"/>
          <w:numId w:val="1004"/>
        </w:numPr>
      </w:pPr>
      <w:r>
        <w:t xml:space="preserve">Threat model one trust boundary -- the riskiest, not all of them.</w:t>
      </w:r>
      <w:r>
        <w:t xml:space="preserve"> </w:t>
      </w:r>
      <w:hyperlink w:anchor="Xac02c7d32d5bb277c9e44f3436addfe1b1747df">
        <w:r>
          <w:rPr>
            <w:rStyle w:val="Hyperlink"/>
          </w:rPr>
          <w:t xml:space="preserve">Section 2</w:t>
        </w:r>
      </w:hyperlink>
      <w:r>
        <w:t xml:space="preserve">. A single worked</w:t>
      </w:r>
      <w:r>
        <w:t xml:space="preserve"> </w:t>
      </w:r>
      <w:r>
        <w:t xml:space="preserve">boundary teaches the format better than a sweep does.</w:t>
      </w:r>
    </w:p>
    <w:p>
      <w:pPr>
        <w:pStyle w:val="Compact"/>
        <w:numPr>
          <w:ilvl w:val="0"/>
          <w:numId w:val="1004"/>
        </w:numPr>
      </w:pPr>
      <w:r>
        <w:t xml:space="preserve">Make the scanner posture honest.</w:t>
      </w:r>
      <w:r>
        <w:t xml:space="preserve"> </w:t>
      </w:r>
      <w:hyperlink w:anchor="Xa04daca1c49463ed52ff2475309af2fe8799704">
        <w:r>
          <w:rPr>
            <w:rStyle w:val="Hyperlink"/>
          </w:rPr>
          <w:t xml:space="preserve">Section 5</w:t>
        </w:r>
      </w:hyperlink>
      <w:r>
        <w:t xml:space="preserve">. Classify every</w:t>
      </w:r>
      <w:r>
        <w:t xml:space="preserve"> </w:t>
      </w:r>
      <w:r>
        <w:t xml:space="preserve">nominally-security job as blocking or advisory before adding any new one. This usually reveals</w:t>
      </w:r>
      <w:r>
        <w:t xml:space="preserve"> </w:t>
      </w:r>
      <w:r>
        <w:t xml:space="preserve">that coverage is narrower than the tool list suggested, at zero engineering cost.</w:t>
      </w:r>
    </w:p>
    <w:p>
      <w:pPr>
        <w:pStyle w:val="Compact"/>
        <w:numPr>
          <w:ilvl w:val="0"/>
          <w:numId w:val="1004"/>
        </w:numPr>
      </w:pPr>
      <w:r>
        <w:t xml:space="preserve">Write the deviations register.</w:t>
      </w:r>
      <w:r>
        <w:t xml:space="preserve"> </w:t>
      </w:r>
      <w:hyperlink w:anchor="X2e76d4b347a06a9540373165195f11ae36f497b">
        <w:r>
          <w:rPr>
            <w:rStyle w:val="Hyperlink"/>
          </w:rPr>
          <w:t xml:space="preserve">Section 13</w:t>
        </w:r>
      </w:hyperlink>
      <w:r>
        <w:t xml:space="preserve">. Start with what</w:t>
      </w:r>
      <w:r>
        <w:t xml:space="preserve"> </w:t>
      </w:r>
      <w:r>
        <w:t xml:space="preserve">you cannot do today. A register written while you are still honest about the gaps is worth more</w:t>
      </w:r>
      <w:r>
        <w:t xml:space="preserve"> </w:t>
      </w:r>
      <w:r>
        <w:t xml:space="preserve">than one written at review time.</w:t>
      </w:r>
    </w:p>
    <w:p>
      <w:pPr>
        <w:pStyle w:val="Compact"/>
        <w:numPr>
          <w:ilvl w:val="0"/>
          <w:numId w:val="1004"/>
        </w:numPr>
      </w:pPr>
      <w:r>
        <w:t xml:space="preserve">Build and release integrity.</w:t>
      </w:r>
      <w:r>
        <w:t xml:space="preserve"> </w:t>
      </w:r>
      <w:hyperlink w:anchor="X48eebdbfd8d38cb086e115614d17c7297664944">
        <w:r>
          <w:rPr>
            <w:rStyle w:val="Hyperlink"/>
          </w:rPr>
          <w:t xml:space="preserve">Section 10</w:t>
        </w:r>
      </w:hyperlink>
      <w:r>
        <w:t xml:space="preserve">. Short-lived</w:t>
      </w:r>
      <w:r>
        <w:t xml:space="preserve"> </w:t>
      </w:r>
      <w:r>
        <w:t xml:space="preserve">publishing credentials, an attestation over the artifact digest, and a published digest manifest</w:t>
      </w:r>
      <w:r>
        <w:t xml:space="preserve"> </w:t>
      </w:r>
      <w:r>
        <w:t xml:space="preserve">cover most of what an adopter needs.</w:t>
      </w:r>
    </w:p>
    <w:p>
      <w:pPr>
        <w:pStyle w:val="Compact"/>
        <w:numPr>
          <w:ilvl w:val="0"/>
          <w:numId w:val="1004"/>
        </w:numPr>
      </w:pPr>
      <w:r>
        <w:t xml:space="preserve">The release gate.</w:t>
      </w:r>
      <w:r>
        <w:t xml:space="preserve"> </w:t>
      </w:r>
      <w:hyperlink w:anchor="X166d910d570b75bb8e35866cbb9a8eb190f1767">
        <w:r>
          <w:rPr>
            <w:rStyle w:val="Hyperlink"/>
          </w:rPr>
          <w:t xml:space="preserve">Section 16</w:t>
        </w:r>
      </w:hyperlink>
      <w:r>
        <w:t xml:space="preserve">. Now that you know which checks block, the</w:t>
      </w:r>
      <w:r>
        <w:t xml:space="preserve"> </w:t>
      </w:r>
      <w:r>
        <w:t xml:space="preserve">gate can be written as a list rather than a judgment.</w:t>
      </w:r>
    </w:p>
    <w:p>
      <w:pPr>
        <w:pStyle w:val="Compact"/>
        <w:numPr>
          <w:ilvl w:val="0"/>
          <w:numId w:val="1004"/>
        </w:numPr>
      </w:pPr>
      <w:r>
        <w:t xml:space="preserve">Rehearse vulnerability response.</w:t>
      </w:r>
      <w:r>
        <w:t xml:space="preserve"> </w:t>
      </w:r>
      <w:hyperlink w:anchor="Xc32b009c31e5f6409196a95ed4c1406da6dc82b">
        <w:r>
          <w:rPr>
            <w:rStyle w:val="Hyperlink"/>
          </w:rPr>
          <w:t xml:space="preserve">Section 12</w:t>
        </w:r>
      </w:hyperlink>
      <w:r>
        <w:t xml:space="preserve">. A dry run</w:t>
      </w:r>
      <w:r>
        <w:t xml:space="preserve"> </w:t>
      </w:r>
      <w:r>
        <w:t xml:space="preserve">finds the broken intake channel before a real reporter does.</w:t>
      </w:r>
    </w:p>
    <w:p>
      <w:pPr>
        <w:pStyle w:val="Compact"/>
        <w:numPr>
          <w:ilvl w:val="0"/>
          <w:numId w:val="1004"/>
        </w:numPr>
      </w:pPr>
      <w:r>
        <w:t xml:space="preserve">Set the re-evaluation cadence.</w:t>
      </w:r>
      <w:r>
        <w:t xml:space="preserve"> </w:t>
      </w:r>
      <w:hyperlink w:anchor="X81f17fbbfa4ed8bd23a7201a27e52cc85d71859">
        <w:r>
          <w:rPr>
            <w:rStyle w:val="Hyperlink"/>
          </w:rPr>
          <w:t xml:space="preserve">Section 14</w:t>
        </w:r>
      </w:hyperlink>
      <w:r>
        <w:t xml:space="preserve">. Four</w:t>
      </w:r>
      <w:r>
        <w:t xml:space="preserve"> </w:t>
      </w:r>
      <w:r>
        <w:t xml:space="preserve">items, a stated cadence, a dated entry per pass, and the event trigger that sends you back to</w:t>
      </w:r>
      <w:r>
        <w:t xml:space="preserve"> </w:t>
      </w:r>
      <w:r>
        <w:t xml:space="preserve">step 1's table. It is what catches a control that degraded during a stretch where nothing</w:t>
      </w:r>
      <w:r>
        <w:t xml:space="preserve"> </w:t>
      </w:r>
      <w:r>
        <w:t xml:space="preserve">shipped.</w:t>
      </w:r>
    </w:p>
    <w:p>
      <w:pPr>
        <w:pStyle w:val="Compact"/>
        <w:numPr>
          <w:ilvl w:val="0"/>
          <w:numId w:val="1004"/>
        </w:numPr>
      </w:pPr>
      <w:r>
        <w:t xml:space="preserve">The remaining sections as they become relevant to what you build.</w:t>
      </w:r>
    </w:p>
    <w:p>
      <w:r>
        <w:pict>
          <v:rect style="width:0;height:1.5pt" o:hralign="center" o:hrstd="t" o:hr="t"/>
        </w:pict>
      </w:r>
    </w:p>
    <w:bookmarkEnd w:id="16"/>
    <w:bookmarkStart w:id="17" w:name="X72e8a7b0eb017be1b6be4ce9a7aa4c29f34647f"/>
    <w:p>
      <w:pPr>
        <w:pStyle w:val="Heading2"/>
      </w:pPr>
      <w:r>
        <w:t xml:space="preserve">The shape: two layers, and the second is where the defects are</w:t>
      </w:r>
    </w:p>
    <w:p>
      <w:pPr>
        <w:pStyle w:val="FirstParagraph"/>
      </w:pPr>
      <w:r>
        <w:t xml:space="preserve">The machine-enforced layer is blocking analysis and secret-scan gates, secure coding practice,</w:t>
      </w:r>
      <w:r>
        <w:t xml:space="preserve"> </w:t>
      </w:r>
      <w:r>
        <w:t xml:space="preserve">dependency and supply-chain integrity, secrets hygiene, secure-by-default configuration,</w:t>
      </w:r>
      <w:r>
        <w:t xml:space="preserve"> </w:t>
      </w:r>
      <w:r>
        <w:t xml:space="preserve">machine-to-machine authentication, and tamper-evident audit logging. It is hard to fake, because its</w:t>
      </w:r>
      <w:r>
        <w:t xml:space="preserve"> </w:t>
      </w:r>
      <w:r>
        <w:t xml:space="preserve">evidence is a red or green pipeline leg rather than a claim.</w:t>
      </w:r>
    </w:p>
    <w:p>
      <w:pPr>
        <w:pStyle w:val="BodyText"/>
      </w:pPr>
      <w:r>
        <w:t xml:space="preserve">The process layer is an exercised vulnerability-response program, an independent external</w:t>
      </w:r>
      <w:r>
        <w:t xml:space="preserve"> </w:t>
      </w:r>
      <w:r>
        <w:t xml:space="preserve">challenge, a single honest verdict-of-record, and a release gate. None of it can be discharged by a</w:t>
      </w:r>
      <w:r>
        <w:t xml:space="preserve"> </w:t>
      </w:r>
      <w:r>
        <w:t xml:space="preserve">passing scanner. It needs a rehearsal, a signature, or an outside party.</w:t>
      </w:r>
    </w:p>
    <w:p>
      <w:pPr>
        <w:pStyle w:val="BodyText"/>
      </w:pPr>
      <w:r>
        <w:rPr>
          <w:b/>
          <w:bCs/>
        </w:rPr>
        <w:t xml:space="preserve">A green pipeline from a gate you ran on yourself does not substitute for an adversary who did</w:t>
      </w:r>
      <w:r>
        <w:rPr>
          <w:b/>
          <w:bCs/>
        </w:rPr>
        <w:t xml:space="preserve"> </w:t>
      </w:r>
      <w:r>
        <w:rPr>
          <w:b/>
          <w:bCs/>
        </w:rPr>
        <w:t xml:space="preserve">not.</w:t>
      </w:r>
      <w:r>
        <w:t xml:space="preserve"> </w:t>
      </w:r>
      <w:r>
        <w:t xml:space="preserve">Defects concentrate in the second layer, and a perfect first layer does not compensate for an</w:t>
      </w:r>
      <w:r>
        <w:t xml:space="preserve"> </w:t>
      </w:r>
      <w:r>
        <w:t xml:space="preserve">empty second one. Say that in the same breath as any claim about your automated coverage.</w:t>
      </w:r>
    </w:p>
    <w:p>
      <w:r>
        <w:pict>
          <v:rect style="width:0;height:1.5pt" o:hralign="center" o:hrstd="t" o:hr="t"/>
        </w:pict>
      </w:r>
    </w:p>
    <w:bookmarkEnd w:id="17"/>
    <w:bookmarkStart w:id="20"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mode is not that somebody</w:t>
      </w:r>
      <w:r>
        <w:t xml:space="preserve"> </w:t>
      </w:r>
      <w:r>
        <w:t xml:space="preserve">does the wrong thing -- it is that both sides assume the other has it covered. Publish the split as</w:t>
      </w:r>
      <w:r>
        <w:t xml:space="preserve"> </w:t>
      </w:r>
      <w:r>
        <w:t xml:space="preserve">a table so that assumption cannot survive.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Shipping the software confers nothing on the operator. An attestation that the software was built</w:t>
      </w:r>
      <w:r>
        <w:t xml:space="preserve"> </w:t>
      </w:r>
      <w:r>
        <w:t xml:space="preserve">securely is an input to their assessment, never a substitute for it. State that where an adopter</w:t>
      </w:r>
      <w:r>
        <w:t xml:space="preserve"> </w:t>
      </w:r>
      <w:r>
        <w:t xml:space="preserve">will read it, not in a footnote.</w:t>
      </w:r>
    </w:p>
    <w:p>
      <w:pPr>
        <w:pStyle w:val="BodyText"/>
      </w:pPr>
      <w:r>
        <w:t xml:space="preserve">The split also constrains what you may write elsewhere in this document. Anything in the right-hand</w:t>
      </w:r>
      <w:r>
        <w:t xml:space="preserve"> </w:t>
      </w:r>
      <w:r>
        <w:t xml:space="preserve">column is something you</w:t>
      </w:r>
      <w:r>
        <w:t xml:space="preserve"> </w:t>
      </w:r>
      <w:r>
        <w:rPr>
          <w:b/>
          <w:bCs/>
        </w:rPr>
        <w:t xml:space="preserve">document and recommend</w:t>
      </w:r>
      <w:r>
        <w:t xml:space="preserve">. It never appears in a list of controls you</w:t>
      </w:r>
      <w:r>
        <w:t xml:space="preserve"> </w:t>
      </w:r>
      <w:r>
        <w:t xml:space="preserve">provide.</w:t>
      </w:r>
    </w:p>
    <w:bookmarkStart w:id="18" w:name="X4ca1e2b74cbf9e5a534c776f2934c8292145685"/>
    <w:p>
      <w:pPr>
        <w:pStyle w:val="Heading3"/>
      </w:pPr>
      <w:r>
        <w:t xml:space="preserve">The third participant: services neither column owns</w:t>
      </w:r>
    </w:p>
    <w:p>
      <w:pPr>
        <w:pStyle w:val="FirstParagraph"/>
      </w:pPr>
      <w:r>
        <w:t xml:space="preserve">List the services the build depends on, what each is trusted to do, and what fails if it is</w:t>
      </w:r>
      <w:r>
        <w:t xml:space="preserve"> </w:t>
      </w:r>
      <w:r>
        <w:t xml:space="preserve">compromised or simply goes away.</w:t>
      </w:r>
      <w:r>
        <w:t xml:space="preserve"> </w:t>
      </w:r>
      <w:r>
        <w:rPr>
          <w:b/>
          <w:bCs/>
        </w:rPr>
        <w:t xml:space="preserve">[prompted by: 800-53 SA-9]</w:t>
      </w:r>
      <w:r>
        <w:t xml:space="preserve"> </w:t>
      </w:r>
      <w:r>
        <w:t xml:space="preserve">(The first of the bracketed marks:</w:t>
      </w:r>
      <w:r>
        <w:t xml:space="preserve"> </w:t>
      </w:r>
      <w:r>
        <w:t xml:space="preserve">the source raised the topic, and the rule as written is ours.</w:t>
      </w:r>
      <w:r>
        <w:t xml:space="preserve"> </w:t>
      </w:r>
      <w:hyperlink w:anchor="where-the-rules-come-from">
        <w:r>
          <w:rPr>
            <w:rStyle w:val="Hyperlink"/>
          </w:rPr>
          <w:t xml:space="preserve">Where the rules come from</w:t>
        </w:r>
      </w:hyperlink>
      <w:r>
        <w:t xml:space="preserve"> </w:t>
      </w:r>
      <w:r>
        <w:t xml:space="preserve">defines this one and the other two.) The two</w:t>
      </w:r>
      <w:r>
        <w:t xml:space="preserve"> </w:t>
      </w:r>
      <w:r>
        <w:t xml:space="preserve">columns above have no room</w:t>
      </w:r>
      <w:r>
        <w:t xml:space="preserve"> </w:t>
      </w:r>
      <w:r>
        <w:t xml:space="preserve">for the CI provider, the source host, the package registry, the transparency log or the artifact</w:t>
      </w:r>
      <w:r>
        <w:t xml:space="preserve"> </w:t>
      </w:r>
      <w:r>
        <w:t xml:space="preserve">store, so every control those hold gets filed under a column where it does not fit. Give them a table</w:t>
      </w:r>
      <w:r>
        <w:t xml:space="preserve"> </w:t>
      </w:r>
      <w:r>
        <w:t xml:space="preserve">of their own. Five to eight rows is the whole of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is also where</w:t>
      </w:r>
      <w:r>
        <w:t xml:space="preserve"> </w:t>
      </w:r>
      <w:hyperlink w:anchor="X48eebdbfd8d38cb086e115614d17c7297664944">
        <w:r>
          <w:rPr>
            <w:rStyle w:val="Hyperlink"/>
          </w:rPr>
          <w:t xml:space="preserve">section 10's</w:t>
        </w:r>
      </w:hyperlink>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That sentence names a relocation and, without this table, the load has</w:t>
      </w:r>
      <w:r>
        <w:t xml:space="preserve"> </w:t>
      </w:r>
      <w:r>
        <w:t xml:space="preserve">nowhere to land.</w:t>
      </w:r>
    </w:p>
    <w:p>
      <w:pPr>
        <w:pStyle w:val="BodyText"/>
      </w:pPr>
      <w:r>
        <w:t xml:space="preserve">Right-size the ongoing part honestly. For a small team, monitoring a provider means subscribing to its</w:t>
      </w:r>
      <w:r>
        <w:t xml:space="preserve"> </w:t>
      </w:r>
      <w:r>
        <w:t xml:space="preserve">status and security advisory feeds and actually reading them, not auditing it. Write that, rather than</w:t>
      </w:r>
      <w:r>
        <w:t xml:space="preserve"> </w:t>
      </w:r>
      <w:r>
        <w:t xml:space="preserve">an oversight sentence nobody performs. The table is a written artifact: it introduces no new blocking</w:t>
      </w:r>
      <w:r>
        <w:t xml:space="preserve"> </w:t>
      </w:r>
      <w:r>
        <w:t xml:space="preserve">release condition and weakens nothing above it.</w:t>
      </w:r>
    </w:p>
    <w:bookmarkEnd w:id="18"/>
    <w:bookmarkStart w:id="19" w:name="X5d46b3bfadc8b2b87d8791de125bb6253b37e18"/>
    <w:p>
      <w:pPr>
        <w:pStyle w:val="Heading3"/>
      </w:pPr>
      <w:r>
        <w:t xml:space="preserve">What "restricted data" means here, exactly once</w:t>
      </w:r>
    </w:p>
    <w:p>
      <w:pPr>
        <w:pStyle w:val="FirstParagraph"/>
      </w:pPr>
      <w:r>
        <w:t xml:space="preserve">Define the data classes in one table, and let every other rule on this page point at it rather than</w:t>
      </w:r>
      <w:r>
        <w:t xml:space="preserve"> </w:t>
      </w:r>
      <w:r>
        <w:t xml:space="preserve">carry an adjective of its own.</w:t>
      </w:r>
      <w:r>
        <w:t xml:space="preserve"> </w:t>
      </w:r>
      <w:r>
        <w:rPr>
          <w:b/>
          <w:bCs/>
        </w:rPr>
        <w:t xml:space="preserve">[prompted by: 800-53 SC-28]</w:t>
      </w:r>
      <w:r>
        <w:t xml:space="preserve"> </w:t>
      </w:r>
      <w:r>
        <w:t xml:space="preserve">One row per class of data the</w:t>
      </w:r>
      <w:r>
        <w:t xml:space="preserve"> </w:t>
      </w:r>
      <w:r>
        <w:t xml:space="preserve">software handles, with five columns: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not the obvious one: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of those resting places, and where the key material for it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is not a required entry and it</w:t>
      </w:r>
      <w:r>
        <w:t xml:space="preserve"> </w:t>
      </w:r>
      <w:r>
        <w:t xml:space="preserve">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in section 2's list -- the running account resolves this at startup rather than receiving it as input, which is what the column is for</w:t>
            </w:r>
          </w:p>
        </w:tc>
        <w:tc>
          <w:tcPr/>
          <w:p>
            <w:pPr>
              <w:pStyle w:val="Compact"/>
            </w:pPr>
            <w:r>
              <w:t xml:space="preserve">The secret store, and nowhere else -- not the primary store, the application log, the audit log, a temporary or spool file, a crash dump, a support bundle, an export, a published artifact, a test fixture, or the context handed to an AI coding assistant</w:t>
            </w:r>
          </w:p>
        </w:tc>
        <w:tc>
          <w:tcPr/>
          <w:p>
            <w:pPr>
              <w:pStyle w:val="Compact"/>
            </w:pPr>
            <w:r>
              <w:t xml:space="preserve">Encrypted at rest by the secret store, and the running account holds no copy in a file. The key material protecting the store is the operator's, in whatever key service the store is configured against -- a right-hand-column control under</w:t>
            </w:r>
            <w:r>
              <w:t xml:space="preserve"> </w:t>
            </w:r>
            <w:hyperlink w:anchor="Xf8794b0126bc78285fb10778097a0695650e57d">
              <w:r>
                <w:rPr>
                  <w:rStyle w:val="Hyperlink"/>
                </w:rPr>
                <w:t xml:space="preserve">section 1</w:t>
              </w:r>
            </w:hyperlink>
            <w:r>
              <w:t xml:space="preserve">, named here rather than claimed</w:t>
            </w:r>
          </w:p>
        </w:tc>
        <w:tc>
          <w:tcPr/>
          <w:p>
            <w:pPr>
              <w:pStyle w:val="Compact"/>
            </w:pPr>
            <w:r>
              <w:t xml:space="preserve">No retention default, because nothing is retained: rotation replaces the value and the store discards the previous one. Rotation is the documented deletion path</w:t>
            </w:r>
          </w:p>
        </w:tc>
      </w:tr>
    </w:tbl>
    <w:p>
      <w:pPr>
        <w:pStyle w:val="BodyText"/>
      </w:pPr>
      <w:r>
        <w:t xml:space="preserve">Classes that recur:</w:t>
      </w:r>
    </w:p>
    <w:p>
      <w:pPr>
        <w:pStyle w:val="Compact"/>
        <w:numPr>
          <w:ilvl w:val="0"/>
          <w:numId w:val="1005"/>
        </w:numPr>
      </w:pPr>
      <w:r>
        <w:t xml:space="preserve">credentials and key material</w:t>
      </w:r>
    </w:p>
    <w:p>
      <w:pPr>
        <w:pStyle w:val="Compact"/>
        <w:numPr>
          <w:ilvl w:val="0"/>
          <w:numId w:val="1005"/>
        </w:numPr>
      </w:pPr>
      <w:r>
        <w:t xml:space="preserve">data restricted under a regime the adopting organization operates under</w:t>
      </w:r>
    </w:p>
    <w:p>
      <w:pPr>
        <w:pStyle w:val="Compact"/>
        <w:numPr>
          <w:ilvl w:val="0"/>
          <w:numId w:val="1005"/>
        </w:numPr>
      </w:pPr>
      <w:r>
        <w:t xml:space="preserve">operational telemetry that identifies a person or a site</w:t>
      </w:r>
    </w:p>
    <w:p>
      <w:pPr>
        <w:pStyle w:val="Compact"/>
        <w:numPr>
          <w:ilvl w:val="0"/>
          <w:numId w:val="1005"/>
        </w:numPr>
      </w:pPr>
      <w:r>
        <w:t xml:space="preserve">the published artifact and its metadata, which is public by construction and belongs in the table</w:t>
      </w:r>
      <w:r>
        <w:t xml:space="preserve"> </w:t>
      </w:r>
      <w:r>
        <w:t xml:space="preserve">precisely so that is written down rather than assumed</w:t>
      </w:r>
    </w:p>
    <w:p>
      <w:pPr>
        <w:pStyle w:val="FirstParagraph"/>
      </w:pPr>
      <w:r>
        <w:t xml:space="preserve">The third column is the one that earns the table. "At rest" is commonly read as a property of a</w:t>
      </w:r>
      <w:r>
        <w:t xml:space="preserve"> </w:t>
      </w:r>
      <w:r>
        <w:t xml:space="preserve">storage device. Read that way it covers the primary store and misses the rotating log file, the</w:t>
      </w:r>
      <w:r>
        <w:t xml:space="preserve"> </w:t>
      </w:r>
      <w:r>
        <w:t xml:space="preserve">crash dump and the support bundle -- which hold the same content, in the same state, with none of the</w:t>
      </w:r>
      <w:r>
        <w:t xml:space="preserve"> </w:t>
      </w:r>
      <w:r>
        <w:t xml:space="preserve">protection. Rate the</w:t>
      </w:r>
      <w:r>
        <w:t xml:space="preserve"> </w:t>
      </w:r>
      <w:r>
        <w:rPr>
          <w:b/>
          <w:bCs/>
        </w:rPr>
        <w:t xml:space="preserve">state of the information</w:t>
      </w:r>
      <w:r>
        <w:t xml:space="preserve">, not the device it happens to sit on and not how</w:t>
      </w:r>
      <w:r>
        <w:t xml:space="preserve"> </w:t>
      </w:r>
      <w:r>
        <w:t xml:space="preserve">often anything reads it.</w:t>
      </w:r>
    </w:p>
    <w:p>
      <w:pPr>
        <w:pStyle w:val="BodyText"/>
      </w:pPr>
      <w:r>
        <w:t xml:space="preserve">Rate each class against the three security objectives, at three impact levels.</w:t>
      </w:r>
      <w:r>
        <w:t xml:space="preserve"> </w:t>
      </w:r>
      <w:r>
        <w:rPr>
          <w:b/>
          <w:bCs/>
        </w:rPr>
        <w:t xml:space="preserve">[derived: FIPS 199]</w:t>
      </w:r>
      <w:r>
        <w:t xml:space="preserve"> </w:t>
      </w:r>
      <w:r>
        <w:t xml:space="preserve">Confidentiality, integrity and availability, each low, moderate or high. That</w:t>
      </w:r>
      <w:r>
        <w:t xml:space="preserve"> </w:t>
      </w:r>
      <w:r>
        <w:t xml:space="preserve">is the whole of the vocabulary this document needs, and it is enough.</w:t>
      </w:r>
    </w:p>
    <w:p>
      <w:pPr>
        <w:pStyle w:val="BodyText"/>
      </w:pPr>
      <w:r>
        <w:rPr>
          <w:b/>
          <w:bCs/>
        </w:rPr>
        <w:t xml:space="preserve">Restricted data</w:t>
      </w:r>
      <w:r>
        <w:t xml:space="preserve">, everywhere else on this page, means any class your own filled-in copy of that</w:t>
      </w:r>
      <w:r>
        <w:t xml:space="preserve"> </w:t>
      </w:r>
      <w:r>
        <w:t xml:space="preserve">table rates above low on confidentiality or integrity. Deliberately not "the top impact level". This</w:t>
      </w:r>
      <w:r>
        <w:t xml:space="preserve"> </w:t>
      </w:r>
      <w:r>
        <w:t xml:space="preserve">term replaced an open-ended adjective that earlier rules on this page already carried. A</w:t>
      </w:r>
      <w:r>
        <w:t xml:space="preserve"> </w:t>
      </w:r>
      <w:r>
        <w:t xml:space="preserve">definition narrower than the adjective it replaces silently weakens every one of them: it would let a class</w:t>
      </w:r>
      <w:r>
        <w:t xml:space="preserve"> </w:t>
      </w:r>
      <w:r>
        <w:t xml:space="preserve">rated moderate travel in cleartext, rest unencrypted, and be logged at informational level -- with no</w:t>
      </w:r>
      <w:r>
        <w:t xml:space="preserve"> </w:t>
      </w:r>
      <w:r>
        <w:t xml:space="preserve">edit to any of those rules, and nothing in the diff to show it. If you want a stricter tier for one</w:t>
      </w:r>
      <w:r>
        <w:t xml:space="preserve"> </w:t>
      </w:r>
      <w:r>
        <w:t xml:space="preserve">specific ratchet, name that ratchet where it is stated and leave the rest quantified over the broader</w:t>
      </w:r>
      <w:r>
        <w:t xml:space="preserve"> </w:t>
      </w:r>
      <w:r>
        <w:t xml:space="preserve">set. That is the single definition. If a rule elsewhere says restricted data and your table has no</w:t>
      </w:r>
      <w:r>
        <w:t xml:space="preserve"> </w:t>
      </w:r>
      <w:r>
        <w:t xml:space="preserve">row that matches, the finding is the missing row.</w:t>
      </w:r>
    </w:p>
    <w:p>
      <w:pPr>
        <w:pStyle w:val="BodyText"/>
      </w:pPr>
      <w:r>
        <w:t xml:space="preserve">The table supplies the scope of at-rest protection and the retention default -- what the rule is</w:t>
      </w:r>
      <w:r>
        <w:t xml:space="preserve"> </w:t>
      </w:r>
      <w:r>
        <w:t xml:space="preserve">quantified over, and for how long. It supplies no storage mechanism, and adopting it does not by</w:t>
      </w:r>
      <w:r>
        <w:t xml:space="preserve"> </w:t>
      </w:r>
      <w:r>
        <w:t xml:space="preserve">itself make anything encrypted; it makes the existing default in</w:t>
      </w:r>
      <w:r>
        <w:t xml:space="preserve"> </w:t>
      </w:r>
      <w:hyperlink w:anchor="X14e6323bcf6e9b0e8faa6bdd21b76d13cd211dd">
        <w:r>
          <w:rPr>
            <w:rStyle w:val="Hyperlink"/>
          </w:rPr>
          <w:t xml:space="preserve">section 7</w:t>
        </w:r>
      </w:hyperlink>
      <w:r>
        <w:t xml:space="preserve"> </w:t>
      </w:r>
      <w:r>
        <w:t xml:space="preserve">checkable, which it was not</w:t>
      </w:r>
      <w:r>
        <w:t xml:space="preserve"> </w:t>
      </w:r>
      <w:r>
        <w:t xml:space="preserve">before. And it is a written artifact rather than a release gate: it adds no blocking condition and</w:t>
      </w:r>
      <w:r>
        <w:t xml:space="preserve"> </w:t>
      </w:r>
      <w:r>
        <w:t xml:space="preserve">weakens no requirement above it.</w:t>
      </w:r>
    </w:p>
    <w:p>
      <w:r>
        <w:pict>
          <v:rect style="width:0;height:1.5pt" o:hralign="center" o:hrstd="t" o:hr="t"/>
        </w:pict>
      </w:r>
    </w:p>
    <w:bookmarkEnd w:id="19"/>
    <w:bookmarkEnd w:id="20"/>
    <w:bookmarkStart w:id="23"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is one. So is a command line, a file dropped in a watched directory, a scheduled job</w:t>
      </w:r>
      <w:r>
        <w:t xml:space="preserve"> </w:t>
      </w:r>
      <w:r>
        <w:t xml:space="preserve">reading shared storage, a queue consumer, a webhook, an inter-process channel, and a database</w:t>
      </w:r>
      <w:r>
        <w:t xml:space="preserve"> </w:t>
      </w:r>
      <w:r>
        <w:t xml:space="preserve">somebody else writes to. If your system has no network interfaces at all, it still has boundaries.</w:t>
      </w:r>
    </w:p>
    <w:p>
      <w:pPr>
        <w:pStyle w:val="BodyText"/>
      </w:pPr>
      <w:r>
        <w:t xml:space="preserve">Every boundary and component gets a written, lightweight threat model. It names a mitigation for each</w:t>
      </w:r>
      <w:r>
        <w:t xml:space="preserve"> </w:t>
      </w:r>
      <w:r>
        <w:t xml:space="preserve">way in, and puts a constraining control on each piece of dangerous functionality and each</w:t>
      </w:r>
      <w:r>
        <w:t xml:space="preserve"> </w:t>
      </w:r>
      <w:r>
        <w:t xml:space="preserve">third-party component it pulls in.</w:t>
      </w:r>
    </w:p>
    <w:p>
      <w:pPr>
        <w:pStyle w:val="BodyText"/>
      </w:pPr>
      <w:r>
        <w:t xml:space="preserve">Three properties make it worth writing:</w:t>
      </w:r>
    </w:p>
    <w:p>
      <w:pPr>
        <w:pStyle w:val="Compact"/>
        <w:numPr>
          <w:ilvl w:val="0"/>
          <w:numId w:val="1006"/>
        </w:numPr>
      </w:pPr>
      <w:r>
        <w:t xml:space="preserve">Reviewed against the security requirements before code exists. After the build it becomes</w:t>
      </w:r>
      <w:r>
        <w:t xml:space="preserve"> </w:t>
      </w:r>
      <w:r>
        <w:t xml:space="preserve">documentation; before the build it is a design gate.</w:t>
      </w:r>
    </w:p>
    <w:p>
      <w:pPr>
        <w:pStyle w:val="Compact"/>
        <w:numPr>
          <w:ilvl w:val="0"/>
          <w:numId w:val="1006"/>
        </w:numPr>
      </w:pPr>
      <w:r>
        <w:t xml:space="preserve">The specification the later review checks against. The reviewed artifact plus its acceptance</w:t>
      </w:r>
      <w:r>
        <w:t xml:space="preserve"> </w:t>
      </w:r>
      <w:r>
        <w:t xml:space="preserve">criteria are what a change is compared to -- without them, review has nothing but taste.</w:t>
      </w:r>
    </w:p>
    <w:p>
      <w:pPr>
        <w:pStyle w:val="Compact"/>
        <w:numPr>
          <w:ilvl w:val="0"/>
          <w:numId w:val="1006"/>
        </w:numPr>
      </w:pPr>
      <w:r>
        <w:t xml:space="preserve">Artifact-checked and advisory, not a scanner. Do not pretend otherwise: nothing mechanical</w:t>
      </w:r>
      <w:r>
        <w:t xml:space="preserve"> </w:t>
      </w:r>
      <w:r>
        <w:t xml:space="preserve">verifies that a threat model is good, and a gate can only verify that one exists for a boundary</w:t>
      </w:r>
      <w:r>
        <w:t xml:space="preserve"> </w:t>
      </w:r>
      <w:r>
        <w:t xml:space="preserve">that was added.</w:t>
      </w:r>
    </w:p>
    <w:p>
      <w:pPr>
        <w:pStyle w:val="FirstParagraph"/>
      </w:pPr>
      <w:r>
        <w:t xml:space="preserve">The highest-value form is boring: a list of every place unknown-provenance data or code enters, and</w:t>
      </w:r>
      <w:r>
        <w:t xml:space="preserve"> </w:t>
      </w:r>
      <w:r>
        <w:t xml:space="preserve">against each one the specific thing that bounds it. When a new ingress is added and nobody can name</w:t>
      </w:r>
      <w:r>
        <w:t xml:space="preserve"> </w:t>
      </w:r>
      <w:r>
        <w:t xml:space="preserve">its mitigation, that is the finding.</w:t>
      </w:r>
    </w:p>
    <w:p>
      <w:pPr>
        <w:pStyle w:val="BodyText"/>
      </w:pPr>
      <w:r>
        <w:t xml:space="preserve">One row, to show the shape. Illustrative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and total processing time per file</w:t>
            </w:r>
          </w:p>
        </w:tc>
      </w:tr>
    </w:tbl>
    <w:p>
      <w:pPr>
        <w:pStyle w:val="BodyText"/>
      </w:pPr>
      <w:r>
        <w:t xml:space="preserve">Name a bound on resource consumption for every boundary, not only the parsing ones.</w:t>
      </w:r>
      <w:r>
        <w:t xml:space="preserve"> </w:t>
      </w:r>
      <w:r>
        <w:rPr>
          <w:b/>
          <w:bCs/>
        </w:rPr>
        <w:t xml:space="preserve">[prompted by: 800-53 SC-5]</w:t>
      </w:r>
      <w:r>
        <w:t xml:space="preserve"> </w:t>
      </w:r>
      <w:r>
        <w:t xml:space="preserve">The questions in this section and the list in</w:t>
      </w:r>
      <w:r>
        <w:t xml:space="preserve"> </w:t>
      </w:r>
      <w:hyperlink w:anchor="X856bc933e26f1c9456cb19e64981d263d6663dc">
        <w:r>
          <w:rPr>
            <w:rStyle w:val="Hyperlink"/>
          </w:rPr>
          <w:t xml:space="preserve">section 3</w:t>
        </w:r>
      </w:hyperlink>
      <w:r>
        <w:t xml:space="preserve"> </w:t>
      </w:r>
      <w:r>
        <w:t xml:space="preserve">cover confidentiality and integrity</w:t>
      </w:r>
      <w:r>
        <w:t xml:space="preserve"> </w:t>
      </w:r>
      <w:r>
        <w:t xml:space="preserve">almost exclusively. The one availability control on this page -- rate limits and timeouts -- used to</w:t>
      </w:r>
      <w:r>
        <w:t xml:space="preserve"> </w:t>
      </w:r>
      <w:r>
        <w:t xml:space="preserve">sit inside</w:t>
      </w:r>
      <w:r>
        <w:t xml:space="preserve"> </w:t>
      </w:r>
      <w:hyperlink w:anchor="X856bc933e26f1c9456cb19e64981d263d6663dc">
        <w:r>
          <w:rPr>
            <w:rStyle w:val="Hyperlink"/>
          </w:rPr>
          <w:t xml:space="preserve">section 3's</w:t>
        </w:r>
      </w:hyperlink>
      <w:r>
        <w:t xml:space="preserve"> </w:t>
      </w:r>
      <w:r>
        <w:t xml:space="preserve">structured-document</w:t>
      </w:r>
      <w:r>
        <w:t xml:space="preserve"> </w:t>
      </w:r>
      <w:r>
        <w:t xml:space="preserve">bullet, as though a parser were the only thing that can be exhausted. That bullet now points here</w:t>
      </w:r>
      <w:r>
        <w:t xml:space="preserve"> </w:t>
      </w:r>
      <w:r>
        <w:t xml:space="preserve">instead. Availability is a co-equal third objective. So for each boundary in the model, name the</w:t>
      </w:r>
      <w:r>
        <w:t xml:space="preserve"> </w:t>
      </w:r>
      <w:r>
        <w:t xml:space="preserve">maximum payload size, the request rate, the concurrency and the total time budget that a hostile</w:t>
      </w:r>
      <w:r>
        <w:t xml:space="preserve"> </w:t>
      </w:r>
      <w:r>
        <w:t xml:space="preserve">input cannot exceed. An unbounded boundary is a finding in the same way an unmitigated ingress is.</w:t>
      </w:r>
    </w:p>
    <w:p>
      <w:pPr>
        <w:pStyle w:val="BodyText"/>
      </w:pPr>
      <w:r>
        <w:t xml:space="preserve">The evidence is cheap, and it is the same shape as</w:t>
      </w:r>
      <w:r>
        <w:t xml:space="preserve"> </w:t>
      </w:r>
      <w:r>
        <w:rPr>
          <w:i/>
          <w:iCs/>
        </w:rPr>
        <w:t xml:space="preserve">enumerate the sibling paths</w:t>
      </w:r>
      <w:r>
        <w:t xml:space="preserve"> </w:t>
      </w:r>
      <w:r>
        <w:t xml:space="preserve">in</w:t>
      </w:r>
      <w:r>
        <w:t xml:space="preserve"> </w:t>
      </w:r>
      <w:hyperlink w:anchor="Xa04daca1c49463ed52ff2475309af2fe8799704">
        <w:r>
          <w:rPr>
            <w:rStyle w:val="Hyperlink"/>
          </w:rPr>
          <w:t xml:space="preserve">section 5</w:t>
        </w:r>
      </w:hyperlink>
      <w:r>
        <w:t xml:space="preserve">: the bound is a</w:t>
      </w:r>
      <w:r>
        <w:t xml:space="preserve"> </w:t>
      </w:r>
      <w:r>
        <w:t xml:space="preserve">constant in the code, so the check is one grep from each row of the boundary list to the constant</w:t>
      </w:r>
      <w:r>
        <w:t xml:space="preserve"> </w:t>
      </w:r>
      <w:r>
        <w:t xml:space="preserve">that enforces it. The common residual is the limit set on the boundary somebody thought about and</w:t>
      </w:r>
      <w:r>
        <w:t xml:space="preserve"> </w:t>
      </w:r>
      <w:r>
        <w:t xml:space="preserve">absent on its three siblings. Naming the bound records what is already there or reveals that it is</w:t>
      </w:r>
      <w:r>
        <w:t xml:space="preserve"> </w:t>
      </w:r>
      <w:r>
        <w:t xml:space="preserve">not; it introduces no new blocking release gate.</w:t>
      </w:r>
    </w:p>
    <w:p>
      <w:pPr>
        <w:pStyle w:val="BodyText"/>
      </w:pPr>
      <w:r>
        <w:t xml:space="preserve">Run a malformed-input harness against the code behind every ingress in that list.</w:t>
      </w:r>
      <w:r>
        <w:t xml:space="preserve"> </w:t>
      </w:r>
      <w:r>
        <w:rPr>
          <w:b/>
          <w:bCs/>
        </w:rPr>
        <w:t xml:space="preserve">[derived: 800-53 SA-11(8)]</w:t>
      </w:r>
      <w:r>
        <w:t xml:space="preserve"> </w:t>
      </w:r>
      <w:r>
        <w:t xml:space="preserve">Seed it from that boundary's own format, run it on a schedule rather</w:t>
      </w:r>
      <w:r>
        <w:t xml:space="preserve"> </w:t>
      </w:r>
      <w:r>
        <w:t xml:space="preserve">than on every change, commit the corpus, and turn every crash it finds into a regression test. This</w:t>
      </w:r>
      <w:r>
        <w:t xml:space="preserve"> </w:t>
      </w:r>
      <w:r>
        <w:t xml:space="preserve">is developer-run dynamic testing, and it is available to a project that cannot fund an outside</w:t>
      </w:r>
      <w:r>
        <w:t xml:space="preserve"> </w:t>
      </w:r>
      <w:r>
        <w:t xml:space="preserve">engagement -- see the correction in</w:t>
      </w:r>
      <w:r>
        <w:t xml:space="preserve"> </w:t>
      </w:r>
      <w:hyperlink w:anchor="X635127d1d4d4de93cff91f98240bebbfa4bd556">
        <w:r>
          <w:rPr>
            <w:rStyle w:val="Hyperlink"/>
          </w:rPr>
          <w:t xml:space="preserve">section 15</w:t>
        </w:r>
      </w:hyperlink>
      <w:r>
        <w:t xml:space="preserve">, where this</w:t>
      </w:r>
      <w:r>
        <w:t xml:space="preserve"> </w:t>
      </w:r>
      <w:r>
        <w:t xml:space="preserve">document previously said otherwise.</w:t>
      </w:r>
    </w:p>
    <w:p>
      <w:pPr>
        <w:pStyle w:val="BodyText"/>
      </w:pPr>
      <w:hyperlink w:anchor="Xa04daca1c49463ed52ff2475309af2fe8799704">
        <w:r>
          <w:rPr>
            <w:rStyle w:val="Hyperlink"/>
          </w:rPr>
          <w:t xml:space="preserve">Section 5</w:t>
        </w:r>
      </w:hyperlink>
      <w:r>
        <w:t xml:space="preserve"> </w:t>
      </w:r>
      <w:r>
        <w:t xml:space="preserve">classifies it,</w:t>
      </w:r>
      <w:r>
        <w:t xml:space="preserve"> </w:t>
      </w:r>
      <w:r>
        <w:t xml:space="preserve">explicitly, as</w:t>
      </w:r>
      <w:r>
        <w:t xml:space="preserve"> </w:t>
      </w:r>
      <w:r>
        <w:rPr>
          <w:b/>
          <w:bCs/>
        </w:rPr>
        <w:t xml:space="preserve">advisory</w:t>
      </w:r>
      <w:r>
        <w:t xml:space="preserve">: a scheduled job is by that section's definition not coverage. And this</w:t>
      </w:r>
      <w:r>
        <w:t xml:space="preserve"> </w:t>
      </w:r>
      <w:r>
        <w:t xml:space="preserve">one must not be wired to block, because its triage burden lands on the same person who would</w:t>
      </w:r>
      <w:r>
        <w:t xml:space="preserve"> </w:t>
      </w:r>
      <w:r>
        <w:t xml:space="preserve">otherwise be shipping. Carry the coverage hedge with it: a fuzzer that never gets past the first</w:t>
      </w:r>
      <w:r>
        <w:t xml:space="preserve"> </w:t>
      </w:r>
      <w:r>
        <w:t xml:space="preserve">parse call is the dynamic-testing equivalent of a clean run on a weak ruleset. And be precise about</w:t>
      </w:r>
      <w:r>
        <w:t xml:space="preserve"> </w:t>
      </w:r>
      <w:r>
        <w:t xml:space="preserve">reach: this gets at parser, decoder and boundary surfaces, not at the whole built artifact, so it</w:t>
      </w:r>
      <w:r>
        <w:t xml:space="preserve"> </w:t>
      </w:r>
      <w:r>
        <w:t xml:space="preserve">narrows the dynamic-testing gap rather than closing it. Do not write it up as closed.</w:t>
      </w:r>
    </w:p>
    <w:bookmarkStart w:id="21" w:name="Xbe20b8a6bd9af0d1e04ce040fc03c6beb08f178"/>
    <w:p>
      <w:pPr>
        <w:pStyle w:val="Heading3"/>
      </w:pPr>
      <w:r>
        <w:t xml:space="preserve">A diagram without marked trust boundaries is not a security artifact</w:t>
      </w:r>
    </w:p>
    <w:p>
      <w:pPr>
        <w:pStyle w:val="FirstParagraph"/>
      </w:pPr>
      <w:r>
        <w:t xml:space="preserve">The model above is a list, and a list is hard to check for absence: nobody notices the ingress that</w:t>
      </w:r>
      <w:r>
        <w:t xml:space="preserve"> </w:t>
      </w:r>
      <w:r>
        <w:t xml:space="preserve">was never written down. Draw the same thing. One diagram per system, showing at least the external</w:t>
      </w:r>
      <w:r>
        <w:t xml:space="preserve"> </w:t>
      </w:r>
      <w:r>
        <w:t xml:space="preserve">entities, the processes, the data stores, and the flows between them -- with the trust boundaries</w:t>
      </w:r>
      <w:r>
        <w:t xml:space="preserve"> </w:t>
      </w:r>
      <w:r>
        <w:t xml:space="preserve">drawn on it, as lines the flows cross.</w:t>
      </w:r>
    </w:p>
    <w:p>
      <w:pPr>
        <w:pStyle w:val="BodyText"/>
      </w:pPr>
      <w:r>
        <w:rPr>
          <w:b/>
          <w:bCs/>
        </w:rPr>
        <w:t xml:space="preserve">The boundaries are the whole of what makes it a security artifact.</w:t>
      </w:r>
      <w:r>
        <w:t xml:space="preserve"> </w:t>
      </w:r>
      <w:r>
        <w:t xml:space="preserve">Components and arrows with no</w:t>
      </w:r>
      <w:r>
        <w:t xml:space="preserve"> </w:t>
      </w:r>
      <w:r>
        <w:t xml:space="preserve">boundaries marked is architecture documentation. It is useful, it is not this, and the failure mode is</w:t>
      </w:r>
      <w:r>
        <w:t xml:space="preserve"> </w:t>
      </w:r>
      <w:r>
        <w:t xml:space="preserve">specific rather than pedantic: it gets found later by somebody who reads it as a threat model, because</w:t>
      </w:r>
      <w:r>
        <w:t xml:space="preserve"> </w:t>
      </w:r>
      <w:r>
        <w:t xml:space="preserve">it is the only picture in the repository and it looks like one. Mark on the diagram itself which lines</w:t>
      </w:r>
      <w:r>
        <w:t xml:space="preserve"> </w:t>
      </w:r>
      <w:r>
        <w:t xml:space="preserve">are boundaries, or do not file it as a threat modeling artifact.</w:t>
      </w:r>
    </w:p>
    <w:p>
      <w:pPr>
        <w:pStyle w:val="BodyText"/>
      </w:pPr>
      <w:r>
        <w:t xml:space="preserve">It is one artifact in two forms, and the check is that they agree. Every crossing on the diagram</w:t>
      </w:r>
      <w:r>
        <w:t xml:space="preserve"> </w:t>
      </w:r>
      <w:r>
        <w:t xml:space="preserve">has a row in the boundary list, and every row in the list has a crossing on the diagram. That two-way</w:t>
      </w:r>
      <w:r>
        <w:t xml:space="preserve"> </w:t>
      </w:r>
      <w:r>
        <w:t xml:space="preserve">check is what the picture buys over the list alone, and it is a read-through rather than a tool. Label</w:t>
      </w:r>
      <w:r>
        <w:t xml:space="preserve"> </w:t>
      </w:r>
      <w:r>
        <w:t xml:space="preserve">each flow with the data class it carries, from</w:t>
      </w:r>
      <w:r>
        <w:t xml:space="preserve"> </w:t>
      </w:r>
      <w:hyperlink w:anchor="Xf8794b0126bc78285fb10778097a0695650e57d">
        <w:r>
          <w:rPr>
            <w:rStyle w:val="Hyperlink"/>
          </w:rPr>
          <w:t xml:space="preserve">section 1's</w:t>
        </w:r>
      </w:hyperlink>
      <w:r>
        <w:t xml:space="preserve"> </w:t>
      </w:r>
      <w:r>
        <w:t xml:space="preserve">table. That table's</w:t>
      </w:r>
      <w:r>
        <w:t xml:space="preserve"> </w:t>
      </w:r>
      <w:r>
        <w:rPr>
          <w:i/>
          <w:iCs/>
        </w:rPr>
        <w:t xml:space="preserve">enters through</w:t>
      </w:r>
      <w:r>
        <w:t xml:space="preserve"> </w:t>
      </w:r>
      <w:r>
        <w:t xml:space="preserve">column becomes checkable in both directions rather than being a field somebody</w:t>
      </w:r>
      <w:r>
        <w:t xml:space="preserve"> </w:t>
      </w:r>
      <w:r>
        <w:t xml:space="preserve">filled in once.</w:t>
      </w:r>
    </w:p>
    <w:p>
      <w:pPr>
        <w:pStyle w:val="BodyText"/>
      </w:pPr>
      <w:r>
        <w:t xml:space="preserve">Keep the source in the repository, in a text format that diffs. A binary drawing in a shared folder</w:t>
      </w:r>
      <w:r>
        <w:t xml:space="preserve"> </w:t>
      </w:r>
      <w:r>
        <w:t xml:space="preserve">cannot be reviewed inside a change and is stale by the time anyone opens it. A diagram whose source is</w:t>
      </w:r>
      <w:r>
        <w:t xml:space="preserve"> </w:t>
      </w:r>
      <w:r>
        <w:t xml:space="preserve">text shows a new boundary as an added line in a diff, which is the same property that makes the</w:t>
      </w:r>
      <w:r>
        <w:t xml:space="preserve"> </w:t>
      </w:r>
      <w:r>
        <w:t xml:space="preserve">boundary list worth keeping in the first place. Any format with a text source works, and this document</w:t>
      </w:r>
      <w:r>
        <w:t xml:space="preserve"> </w:t>
      </w:r>
      <w:r>
        <w:t xml:space="preserve">names none, because the property is diffability rather than a tool.</w:t>
      </w:r>
    </w:p>
    <w:p>
      <w:pPr>
        <w:pStyle w:val="BodyText"/>
      </w:pPr>
      <w:r>
        <w:t xml:space="preserve">The diagram establishes nothing about the code. It records what somebody believed the boundaries</w:t>
      </w:r>
      <w:r>
        <w:t xml:space="preserve"> </w:t>
      </w:r>
      <w:r>
        <w:t xml:space="preserve">were; the code is where they actually are, and the two diverge without a sound. Nothing mechanical</w:t>
      </w:r>
      <w:r>
        <w:t xml:space="preserve"> </w:t>
      </w:r>
      <w:r>
        <w:t xml:space="preserve">verifies it, as with the threat model above. And it goes stale on at least the events that stale that</w:t>
      </w:r>
      <w:r>
        <w:t xml:space="preserve"> </w:t>
      </w:r>
      <w:r>
        <w:t xml:space="preserve">table -- a change that adds a data class, gives an existing class a new resting place, or adds a</w:t>
      </w:r>
      <w:r>
        <w:t xml:space="preserve"> </w:t>
      </w:r>
      <w:r>
        <w:t xml:space="preserve">boundary. And on a few the table survives, among them a flow rerouted, a data store added, and a</w:t>
      </w:r>
      <w:r>
        <w:t xml:space="preserve"> </w:t>
      </w:r>
      <w:r>
        <w:t xml:space="preserve">boundary removed. It therefore rides the event trigger</w:t>
      </w:r>
      <w:r>
        <w:t xml:space="preserve"> </w:t>
      </w:r>
      <w:hyperlink w:anchor="X81f17fbbfa4ed8bd23a7201a27e52cc85d71859">
        <w:r>
          <w:rPr>
            <w:rStyle w:val="Hyperlink"/>
          </w:rPr>
          <w:t xml:space="preserve">section 14</w:t>
        </w:r>
      </w:hyperlink>
      <w:r>
        <w:t xml:space="preserve"> </w:t>
      </w:r>
      <w:r>
        <w:t xml:space="preserve">gives</w:t>
      </w:r>
      <w:r>
        <w:t xml:space="preserve"> </w:t>
      </w:r>
      <w:hyperlink w:anchor="Xf8794b0126bc78285fb10778097a0695650e57d">
        <w:r>
          <w:rPr>
            <w:rStyle w:val="Hyperlink"/>
          </w:rPr>
          <w:t xml:space="preserve">section 1's</w:t>
        </w:r>
      </w:hyperlink>
      <w:r>
        <w:t xml:space="preserve"> </w:t>
      </w:r>
      <w:r>
        <w:t xml:space="preserve">data-class table, and the row</w:t>
      </w:r>
      <w:r>
        <w:t xml:space="preserve"> </w:t>
      </w:r>
      <w:hyperlink w:anchor="X166d910d570b75bb8e35866cbb9a8eb190f1767">
        <w:r>
          <w:rPr>
            <w:rStyle w:val="Hyperlink"/>
          </w:rPr>
          <w:t xml:space="preserve">section 16's</w:t>
        </w:r>
      </w:hyperlink>
      <w:r>
        <w:t xml:space="preserve"> </w:t>
      </w:r>
      <w:r>
        <w:t xml:space="preserve">gate already carries for that table, rather than adding a gate</w:t>
      </w:r>
      <w:r>
        <w:t xml:space="preserve"> </w:t>
      </w:r>
      <w:r>
        <w:t xml:space="preserve">row or a fifth calendar item of its own. It is also a map of every way into the system, so</w:t>
      </w:r>
      <w:r>
        <w:t xml:space="preserve"> </w:t>
      </w:r>
      <w:hyperlink w:anchor="X2e76d4b347a06a9540373165195f11ae36f497b">
        <w:r>
          <w:rPr>
            <w:rStyle w:val="Hyperlink"/>
          </w:rPr>
          <w:t xml:space="preserve">section 13's</w:t>
        </w:r>
      </w:hyperlink>
      <w:r>
        <w:t xml:space="preserve"> </w:t>
      </w:r>
      <w:r>
        <w:rPr>
          <w:i/>
          <w:iCs/>
        </w:rPr>
        <w:t xml:space="preserve">publish the rule, not the inventory</w:t>
      </w:r>
      <w:r>
        <w:t xml:space="preserve"> </w:t>
      </w:r>
      <w:r>
        <w:t xml:space="preserve">governs what</w:t>
      </w:r>
      <w:r>
        <w:t xml:space="preserve"> </w:t>
      </w:r>
      <w:r>
        <w:t xml:space="preserve">you do with it.</w:t>
      </w:r>
    </w:p>
    <w:p>
      <w:pPr>
        <w:pStyle w:val="BodyText"/>
      </w:pPr>
      <w:r>
        <w:t xml:space="preserve">Normative force: a written artifact, recommended. It introduces no new blocking release condition and</w:t>
      </w:r>
      <w:r>
        <w:t xml:space="preserve"> </w:t>
      </w:r>
      <w:r>
        <w:t xml:space="preserve">weakens nothing above it.</w:t>
      </w:r>
    </w:p>
    <w:bookmarkEnd w:id="21"/>
    <w:bookmarkStart w:id="22" w:name="Xe95926782a39bd4a0ad092566161170b8cb2e98"/>
    <w:p>
      <w:pPr>
        <w:pStyle w:val="Heading3"/>
      </w:pPr>
      <w:r>
        <w:t xml:space="preserve">Execution boundaries need the longest look</w:t>
      </w:r>
    </w:p>
    <w:p>
      <w:pPr>
        <w:pStyle w:val="FirstParagraph"/>
      </w:pPr>
      <w:r>
        <w:t xml:space="preserve">Trust boundaries where content becomes executable deserve more scrutiny than the rest. These</w:t>
      </w:r>
      <w:r>
        <w:t xml:space="preserve"> </w:t>
      </w:r>
      <w:r>
        <w:t xml:space="preserve">questions generalize:</w:t>
      </w:r>
    </w:p>
    <w:p>
      <w:pPr>
        <w:pStyle w:val="Compact"/>
        <w:numPr>
          <w:ilvl w:val="0"/>
          <w:numId w:val="1007"/>
        </w:numPr>
      </w:pPr>
      <w:r>
        <w:t xml:space="preserve">Is there any path that reaches execution without the vet running? Check every caller, not the</w:t>
      </w:r>
      <w:r>
        <w:t xml:space="preserve"> </w:t>
      </w:r>
      <w:r>
        <w:t xml:space="preserve">documented one.</w:t>
      </w:r>
    </w:p>
    <w:p>
      <w:pPr>
        <w:pStyle w:val="Compact"/>
        <w:numPr>
          <w:ilvl w:val="0"/>
          <w:numId w:val="1007"/>
        </w:numPr>
      </w:pPr>
      <w:r>
        <w:t xml:space="preserve">Does it fail closed, with no silent downgrade when the intended backend is absent?</w:t>
      </w:r>
    </w:p>
    <w:p>
      <w:pPr>
        <w:pStyle w:val="Compact"/>
        <w:numPr>
          <w:ilvl w:val="0"/>
          <w:numId w:val="1007"/>
        </w:numPr>
      </w:pPr>
      <w:r>
        <w:t xml:space="preserve">Is the load target validated against a fixed known set, so input cannot trigger an arbitrary</w:t>
      </w:r>
      <w:r>
        <w:t xml:space="preserve"> </w:t>
      </w:r>
      <w:r>
        <w:t xml:space="preserve">import?</w:t>
      </w:r>
    </w:p>
    <w:p>
      <w:pPr>
        <w:pStyle w:val="Compact"/>
        <w:numPr>
          <w:ilvl w:val="0"/>
          <w:numId w:val="1007"/>
        </w:numPr>
      </w:pPr>
      <w:r>
        <w:t xml:space="preserve">Does the vet cover the whole executable surface or only the obvious top level?</w:t>
      </w:r>
    </w:p>
    <w:p>
      <w:pPr>
        <w:pStyle w:val="Compact"/>
        <w:numPr>
          <w:ilvl w:val="0"/>
          <w:numId w:val="1007"/>
        </w:numPr>
      </w:pPr>
      <w:r>
        <w:t xml:space="preserve">Does it follow links, so a vetted-looking entry can point somewhere writable?</w:t>
      </w:r>
    </w:p>
    <w:p>
      <w:pPr>
        <w:pStyle w:val="Compact"/>
        <w:numPr>
          <w:ilvl w:val="0"/>
          <w:numId w:val="1007"/>
        </w:numPr>
      </w:pPr>
      <w:r>
        <w:t xml:space="preserve">Is the check skipped under a privileged account?</w:t>
      </w:r>
    </w:p>
    <w:p>
      <w:pPr>
        <w:pStyle w:val="Compact"/>
        <w:numPr>
          <w:ilvl w:val="0"/>
          <w:numId w:val="1007"/>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22"/>
    <w:bookmarkEnd w:id="23"/>
    <w:bookmarkStart w:id="25" w:name="X856bc933e26f1c9456cb19e64981d263d6663dc"/>
    <w:p>
      <w:pPr>
        <w:pStyle w:val="Heading2"/>
      </w:pPr>
      <w:r>
        <w:t xml:space="preserve">3. Secure coding: the finite list a review can check</w:t>
      </w:r>
    </w:p>
    <w:p>
      <w:pPr>
        <w:pStyle w:val="FirstParagraph"/>
      </w:pPr>
      <w:r>
        <w:t xml:space="preserve">A short checkable list beats a principle, because "is this change secure" is not a question a</w:t>
      </w:r>
      <w:r>
        <w:t xml:space="preserve"> </w:t>
      </w:r>
      <w:r>
        <w:t xml:space="preserve">reviewer can answer and these are.</w:t>
      </w:r>
    </w:p>
    <w:p>
      <w:pPr>
        <w:pStyle w:val="Compact"/>
        <w:numPr>
          <w:ilvl w:val="0"/>
          <w:numId w:val="1008"/>
        </w:numPr>
      </w:pPr>
      <w:r>
        <w:t xml:space="preserve">Validate structure and content of every inbound payload at ingress. Reject or quarantine</w:t>
      </w:r>
      <w:r>
        <w:t xml:space="preserve"> </w:t>
      </w:r>
      <w:r>
        <w:t xml:space="preserve">malformed input rather than processing it. An untrusted payload must be validated before it reaches</w:t>
      </w:r>
      <w:r>
        <w:t xml:space="preserve"> </w:t>
      </w:r>
      <w:r>
        <w:t xml:space="preserve">a query, a file path, a subprocess, or a message you emit downstream.</w:t>
      </w:r>
    </w:p>
    <w:p>
      <w:pPr>
        <w:pStyle w:val="Compact"/>
        <w:numPr>
          <w:ilvl w:val="0"/>
          <w:numId w:val="1008"/>
        </w:numPr>
      </w:pPr>
      <w:r>
        <w:t xml:space="preserve">Parameterised queries only. No string-built statements anywhere, no exceptions held open by a</w:t>
      </w:r>
      <w:r>
        <w:t xml:space="preserve"> </w:t>
      </w:r>
      <w:r>
        <w:t xml:space="preserve">comment.</w:t>
      </w:r>
    </w:p>
    <w:p>
      <w:pPr>
        <w:pStyle w:val="Compact"/>
        <w:numPr>
          <w:ilvl w:val="0"/>
          <w:numId w:val="1008"/>
        </w:numPr>
      </w:pPr>
      <w:r>
        <w:t xml:space="preserve">Authentication and authorization enforced on every action, deny by default.</w:t>
      </w:r>
    </w:p>
    <w:p>
      <w:pPr>
        <w:pStyle w:val="Compact"/>
        <w:numPr>
          <w:ilvl w:val="0"/>
          <w:numId w:val="1008"/>
        </w:numPr>
      </w:pPr>
      <w:r>
        <w:t xml:space="preserve">For anything that parses structured documents: disable external-entity resolution and</w:t>
      </w:r>
      <w:r>
        <w:t xml:space="preserve"> </w:t>
      </w:r>
      <w:r>
        <w:t xml:space="preserve">document-type processing, size-limit payloads against a schema, apply that boundary's resource</w:t>
      </w:r>
      <w:r>
        <w:t xml:space="preserve"> </w:t>
      </w:r>
      <w:r>
        <w:t xml:space="preserve">bounds from</w:t>
      </w:r>
      <w:r>
        <w:t xml:space="preserve"> </w:t>
      </w:r>
      <w:hyperlink w:anchor="Xac02c7d32d5bb277c9e44f3436addfe1b1747df">
        <w:r>
          <w:rPr>
            <w:rStyle w:val="Hyperlink"/>
          </w:rPr>
          <w:t xml:space="preserve">section 2</w:t>
        </w:r>
      </w:hyperlink>
      <w:r>
        <w:t xml:space="preserve"> </w:t>
      </w:r>
      <w:r>
        <w:t xml:space="preserve">rather than a rate</w:t>
      </w:r>
      <w:r>
        <w:t xml:space="preserve"> </w:t>
      </w:r>
      <w:r>
        <w:t xml:space="preserve">limit and timeout invented here, and never return internal detail in a fault response.</w:t>
      </w:r>
    </w:p>
    <w:p>
      <w:pPr>
        <w:pStyle w:val="Compact"/>
        <w:numPr>
          <w:ilvl w:val="0"/>
          <w:numId w:val="1008"/>
        </w:numPr>
      </w:pPr>
      <w:r>
        <w:t xml:space="preserve">For file handling: confine reads and writes to configured directories and canonicalise paths so</w:t>
      </w:r>
      <w:r>
        <w:t xml:space="preserve"> </w:t>
      </w:r>
      <w:r>
        <w:t xml:space="preserve">traversal and symlink escapes are rejected. Validate type and size by content rather than</w:t>
      </w:r>
      <w:r>
        <w:t xml:space="preserve"> </w:t>
      </w:r>
      <w:r>
        <w:t xml:space="preserve">extension. Write atomically then rename so a partial file is never processed. Never place files on</w:t>
      </w:r>
      <w:r>
        <w:t xml:space="preserve"> </w:t>
      </w:r>
      <w:r>
        <w:t xml:space="preserve">an executable or served path, and never execute file contents.</w:t>
      </w:r>
    </w:p>
    <w:p>
      <w:pPr>
        <w:pStyle w:val="Compact"/>
        <w:numPr>
          <w:ilvl w:val="0"/>
          <w:numId w:val="1008"/>
        </w:numPr>
      </w:pPr>
      <w:r>
        <w:t xml:space="preserve">Use vetted cryptographic libraries. Never roll your own.</w:t>
      </w:r>
    </w:p>
    <w:p>
      <w:pPr>
        <w:pStyle w:val="Compact"/>
        <w:numPr>
          <w:ilvl w:val="0"/>
          <w:numId w:val="1008"/>
        </w:numPr>
      </w:pPr>
      <w:r>
        <w:t xml:space="preserve">Fail closed on error. Never log secrets or restricted data, as</w:t>
      </w:r>
      <w:r>
        <w:t xml:space="preserve"> </w:t>
      </w:r>
      <w:hyperlink w:anchor="Xf8794b0126bc78285fb10778097a0695650e57d">
        <w:r>
          <w:rPr>
            <w:rStyle w:val="Hyperlink"/>
          </w:rPr>
          <w:t xml:space="preserve">section 1's</w:t>
        </w:r>
      </w:hyperlink>
      <w:r>
        <w:t xml:space="preserve"> </w:t>
      </w:r>
      <w:r>
        <w:t xml:space="preserve">table defines it.</w:t>
      </w:r>
    </w:p>
    <w:p>
      <w:pPr>
        <w:pStyle w:val="FirstParagraph"/>
      </w:pPr>
      <w:r>
        <w:t xml:space="preserve">Two more are already owned elsewhere on this site, and are named here only so the enumeration is</w:t>
      </w:r>
      <w:r>
        <w:t xml:space="preserve"> </w:t>
      </w:r>
      <w:r>
        <w:t xml:space="preserve">complete: treating everything an agent reads as data rather than instructions, and verifying a</w:t>
      </w:r>
      <w:r>
        <w:t xml:space="preserve"> </w:t>
      </w:r>
      <w:r>
        <w:t xml:space="preserve">dependency's identity before adding it. Both are covered in</w:t>
      </w:r>
      <w:r>
        <w:t xml:space="preserve"> </w:t>
      </w:r>
      <w:hyperlink r:id="rId24">
        <w:r>
          <w:rPr>
            <w:rStyle w:val="Hyperlink"/>
          </w:rPr>
          <w:t xml:space="preserve">CI and standards</w:t>
        </w:r>
      </w:hyperlink>
      <w:r>
        <w:t xml:space="preserve">.</w:t>
      </w:r>
    </w:p>
    <w:p>
      <w:r>
        <w:pict>
          <v:rect style="width:0;height:1.5pt" o:hralign="center" o:hrstd="t" o:hr="t"/>
        </w:pict>
      </w:r>
    </w:p>
    <w:bookmarkEnd w:id="25"/>
    <w:bookmarkStart w:id="30" w:name="Xd0d2e3c2022a6968f9346992769e0293d735ca2"/>
    <w:p>
      <w:pPr>
        <w:pStyle w:val="Heading2"/>
      </w:pPr>
      <w:r>
        <w:t xml:space="preserve">4. Review, and what to do when there is no second reviewer</w:t>
      </w:r>
    </w:p>
    <w:p>
      <w:pPr>
        <w:pStyle w:val="FirstParagraph"/>
      </w:pPr>
      <w:r>
        <w:t xml:space="preserve">Every change is peer-reviewed, static analysis and dependency analysis run on it, and the review also</w:t>
      </w:r>
      <w:r>
        <w:t xml:space="preserve"> </w:t>
      </w:r>
      <w:r>
        <w:t xml:space="preserve">confirms the change conforms to the acceptance criteria of whatever specified it.</w:t>
      </w:r>
    </w:p>
    <w:p>
      <w:pPr>
        <w:pStyle w:val="BodyText"/>
      </w:pPr>
      <w:r>
        <w:t xml:space="preserve">That is the requirement. Many projects cannot meet it, and the honest response is not to redefine</w:t>
      </w:r>
      <w:r>
        <w:t xml:space="preserve"> </w:t>
      </w:r>
      <w:r>
        <w:t xml:space="preserve">"reviewed" until it fits.</w:t>
      </w:r>
    </w:p>
    <w:bookmarkStart w:id="26" w:name="X201f980f972ea0e4b6566ffddea29bd74691ffd"/>
    <w:p>
      <w:pPr>
        <w:pStyle w:val="Heading3"/>
      </w:pPr>
      <w:r>
        <w:t xml:space="preserve">Self-review is a documented deviation, not a satisfied control</w:t>
      </w:r>
    </w:p>
    <w:p>
      <w:pPr>
        <w:pStyle w:val="FirstParagraph"/>
      </w:pPr>
      <w:r>
        <w:t xml:space="preserve">Record it as a deviation. Name the control that cannot be met. Name the compensating set actually in</w:t>
      </w:r>
      <w:r>
        <w:t xml:space="preserve"> </w:t>
      </w:r>
      <w:r>
        <w:t xml:space="preserve">force -- typically blocking static analysis and dependency audit that cannot be waived, AI-run review</w:t>
      </w:r>
      <w:r>
        <w:t xml:space="preserve"> </w:t>
      </w:r>
      <w:r>
        <w:t xml:space="preserve">that a human arbitrates, branch protection with required checks, and no direct pushes to the trunk.</w:t>
      </w:r>
      <w:r>
        <w:t xml:space="preserve"> </w:t>
      </w:r>
      <w:r>
        <w:t xml:space="preserve">Name the event that ends the deviation, which is usually a second maintainer joining.</w:t>
      </w:r>
    </w:p>
    <w:p>
      <w:pPr>
        <w:pStyle w:val="BodyText"/>
      </w:pPr>
      <w:r>
        <w:t xml:space="preserve">Then constrain the wording. The compensating set is a</w:t>
      </w:r>
      <w:r>
        <w:t xml:space="preserve"> </w:t>
      </w:r>
      <w:r>
        <w:rPr>
          <w:b/>
          <w:bCs/>
        </w:rPr>
        <w:t xml:space="preserve">compensating control, explicitly not an</w:t>
      </w:r>
      <w:r>
        <w:rPr>
          <w:b/>
          <w:bCs/>
        </w:rPr>
        <w:t xml:space="preserve"> </w:t>
      </w:r>
      <w:r>
        <w:rPr>
          <w:b/>
          <w:bCs/>
        </w:rPr>
        <w:t xml:space="preserve">independent audit</w:t>
      </w:r>
      <w:r>
        <w:t xml:space="preserve">, and no published claim may imply otherwise.</w:t>
      </w:r>
    </w:p>
    <w:bookmarkEnd w:id="26"/>
    <w:bookmarkStart w:id="28"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The study used a 2022-era model, so</w:t>
      </w:r>
      <w:r>
        <w:t xml:space="preserve"> </w:t>
      </w:r>
      <w:r>
        <w:t xml:space="preserve">re-baseline the magnitude rather than quoting it; the direction is what matters here.</w:t>
      </w:r>
    </w:p>
    <w:p>
      <w:pPr>
        <w:pStyle w:val="BodyText"/>
      </w:pPr>
      <w:r>
        <w:t xml:space="preserve">The citation and its hedge live in one place -- the evidence table in</w:t>
      </w:r>
      <w:r>
        <w:t xml:space="preserve"> </w:t>
      </w:r>
      <w:hyperlink r:id="rId27">
        <w:r>
          <w:rPr>
            <w:rStyle w:val="Hyperlink"/>
          </w:rPr>
          <w:t xml:space="preserve">Judging code quality, whoever or whatever wrote it</w:t>
        </w:r>
      </w:hyperlink>
      <w:r>
        <w:t xml:space="preserve">.</w:t>
      </w:r>
    </w:p>
    <w:p>
      <w:pPr>
        <w:pStyle w:val="BodyText"/>
      </w:pPr>
      <w:r>
        <w:t xml:space="preserve">That effect bites hardest exactly in the self-review case, which is the argument for the one control</w:t>
      </w:r>
      <w:r>
        <w:t xml:space="preserve"> </w:t>
      </w:r>
      <w:r>
        <w:t xml:space="preserve">independent of the author's confidence: an adversarial check on whether the tests assert anything.</w:t>
      </w:r>
      <w:r>
        <w:t xml:space="preserve"> </w:t>
      </w:r>
      <w:r>
        <w:t xml:space="preserve">See</w:t>
      </w:r>
      <w:r>
        <w:t xml:space="preserve"> </w:t>
      </w:r>
      <w:r>
        <w:rPr>
          <w:i/>
          <w:iCs/>
        </w:rPr>
        <w:t xml:space="preserve">Judge tests by their assertions, not their presence or their coverage</w:t>
      </w:r>
      <w:r>
        <w:t xml:space="preserve"> </w:t>
      </w:r>
      <w:r>
        <w:t xml:space="preserve">in</w:t>
      </w:r>
      <w:r>
        <w:t xml:space="preserve"> </w:t>
      </w:r>
      <w:hyperlink r:id="rId24">
        <w:r>
          <w:rPr>
            <w:rStyle w:val="Hyperlink"/>
          </w:rPr>
          <w:t xml:space="preserve">CI and standards</w:t>
        </w:r>
      </w:hyperlink>
      <w:r>
        <w:t xml:space="preserve">.</w:t>
      </w:r>
    </w:p>
    <w:bookmarkEnd w:id="28"/>
    <w:bookmarkStart w:id="29" w:name="X8df9a15527c9258113a544c92aa72dbd7dd03b7"/>
    <w:p>
      <w:pPr>
        <w:pStyle w:val="Heading3"/>
      </w:pPr>
      <w:r>
        <w:t xml:space="preserve">The comprehension bar, and two additions to it</w:t>
      </w:r>
    </w:p>
    <w:p>
      <w:pPr>
        <w:pStyle w:val="FirstParagraph"/>
      </w:pPr>
      <w:r>
        <w:t xml:space="preserve">The comprehension bar that goes with review -- reject code you cannot explain, with assistance in</w:t>
      </w:r>
      <w:r>
        <w:t xml:space="preserve"> </w:t>
      </w:r>
      <w:r>
        <w:t xml:space="preserve">reaching the explanation being acceptable -- is settled on this site under that name in the same</w:t>
      </w:r>
      <w:r>
        <w:t xml:space="preserve"> </w:t>
      </w:r>
      <w:r>
        <w:t xml:space="preserve">document.</w:t>
      </w:r>
    </w:p>
    <w:p>
      <w:pPr>
        <w:pStyle w:val="BodyText"/>
      </w:pPr>
      <w:r>
        <w:t xml:space="preserve">Two small additions are worth carrying. An AI coding assistant's explanation can be confidently</w:t>
      </w:r>
      <w:r>
        <w:t xml:space="preserve"> </w:t>
      </w:r>
      <w:r>
        <w:t xml:space="preserve">wrong in the same way its code can, so the human verifies the explanation rather than accepting it.</w:t>
      </w:r>
      <w:r>
        <w:t xml:space="preserve"> </w:t>
      </w:r>
      <w:r>
        <w:t xml:space="preserve">A periodic cold spot-check of an already-merged assisted change is a cheap way to detect that</w:t>
      </w:r>
      <w:r>
        <w:t xml:space="preserve"> </w:t>
      </w:r>
      <w:r>
        <w:t xml:space="preserve">explaining has drifted into rubber-stamping.</w:t>
      </w:r>
    </w:p>
    <w:p>
      <w:r>
        <w:pict>
          <v:rect style="width:0;height:1.5pt" o:hralign="center" o:hrstd="t" o:hr="t"/>
        </w:pict>
      </w:r>
    </w:p>
    <w:bookmarkEnd w:id="29"/>
    <w:bookmarkEnd w:id="30"/>
    <w:bookmarkStart w:id="36"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 and</w:t>
      </w:r>
      <w:r>
        <w:t xml:space="preserve"> </w:t>
      </w:r>
      <w:r>
        <w:t xml:space="preserve">scheduled-only jobs are useful and are not coverage. Classify every nominally-security job as one or</w:t>
      </w:r>
      <w:r>
        <w:t xml:space="preserve"> </w:t>
      </w:r>
      <w:r>
        <w:t xml:space="preserve">the other and write the classification down, because the two are indistinguishable from a green</w:t>
      </w:r>
      <w:r>
        <w:t xml:space="preserve"> </w:t>
      </w:r>
      <w:r>
        <w:t xml:space="preserve">badge.</w:t>
      </w:r>
    </w:p>
    <w:bookmarkStart w:id="32" w:name="what-must-block-and-may-not-be-waived"/>
    <w:p>
      <w:pPr>
        <w:pStyle w:val="Heading3"/>
      </w:pPr>
      <w:r>
        <w:t xml:space="preserve">What must block, and may not be waived</w:t>
      </w:r>
    </w:p>
    <w:p>
      <w:pPr>
        <w:pStyle w:val="FirstParagraph"/>
      </w:pPr>
      <w:r>
        <w:t xml:space="preserve">The following must block a change, and may not be waived by an author:</w:t>
      </w:r>
    </w:p>
    <w:p>
      <w:pPr>
        <w:pStyle w:val="Compact"/>
        <w:numPr>
          <w:ilvl w:val="0"/>
          <w:numId w:val="1009"/>
        </w:numPr>
      </w:pPr>
      <w:r>
        <w:t xml:space="preserve">Static analysis, red on any new finding from a clean baseline.</w:t>
      </w:r>
    </w:p>
    <w:p>
      <w:pPr>
        <w:pStyle w:val="Compact"/>
        <w:numPr>
          <w:ilvl w:val="0"/>
          <w:numId w:val="1009"/>
        </w:numPr>
      </w:pPr>
      <w:r>
        <w:t xml:space="preserve">Dependency vulnerability analysis, red on any new advisory.</w:t>
      </w:r>
    </w:p>
    <w:p>
      <w:pPr>
        <w:pStyle w:val="Compact"/>
        <w:numPr>
          <w:ilvl w:val="0"/>
          <w:numId w:val="1009"/>
        </w:numPr>
      </w:pPr>
      <w:r>
        <w:t xml:space="preserve">Secret scanning, over the full history, not only the diff.</w:t>
      </w:r>
    </w:p>
    <w:p>
      <w:pPr>
        <w:pStyle w:val="FirstParagraph"/>
      </w:pPr>
      <w:r>
        <w:t xml:space="preserve">Mechanics for all three are already published.</w:t>
      </w:r>
      <w:r>
        <w:t xml:space="preserve"> </w:t>
      </w:r>
      <w:hyperlink r:id="rId24">
        <w:r>
          <w:rPr>
            <w:rStyle w:val="Hyperlink"/>
          </w:rPr>
          <w:t xml:space="preserve">CI and standards</w:t>
        </w:r>
      </w:hyperlink>
      <w:r>
        <w:t xml:space="preserve"> </w:t>
      </w:r>
      <w:r>
        <w:t xml:space="preserve">covers</w:t>
      </w:r>
      <w:r>
        <w:t xml:space="preserve"> </w:t>
      </w:r>
      <w:r>
        <w:t xml:space="preserve">grandfathering to a clean baseline and then ratcheting, and running supply-chain audits on a schedule</w:t>
      </w:r>
      <w:r>
        <w:t xml:space="preserve"> </w:t>
      </w:r>
      <w:r>
        <w:t xml:space="preserve">as well as on changes. It also covers the two-layer shape where a local hook gives fast feedback and</w:t>
      </w:r>
      <w:r>
        <w:t xml:space="preserve"> </w:t>
      </w:r>
      <w:r>
        <w:t xml:space="preserve">the pipeline is the authoritative gate.</w:t>
      </w:r>
    </w:p>
    <w:p>
      <w:pPr>
        <w:pStyle w:val="BodyText"/>
      </w:pPr>
      <w:r>
        <w:t xml:space="preserve">Fail-closed forbidden-content scanning and the three ways a scanner lies are in</w:t>
      </w:r>
      <w:r>
        <w:t xml:space="preserve"> </w:t>
      </w:r>
      <w:hyperlink r:id="rId31">
        <w:r>
          <w:rPr>
            <w:rStyle w:val="Hyperlink"/>
          </w:rPr>
          <w:t xml:space="preserve">the leak gate</w:t>
        </w:r>
      </w:hyperlink>
      <w:r>
        <w:t xml:space="preserve">.</w:t>
      </w:r>
    </w:p>
    <w:p>
      <w:pPr>
        <w:pStyle w:val="BodyText"/>
      </w:pPr>
      <w:r>
        <w:t xml:space="preserve">The scheduled malformed-input harness described in</w:t>
      </w:r>
      <w:r>
        <w:t xml:space="preserve"> </w:t>
      </w:r>
      <w:hyperlink w:anchor="Xac02c7d32d5bb277c9e44f3436addfe1b1747df">
        <w:r>
          <w:rPr>
            <w:rStyle w:val="Hyperlink"/>
          </w:rPr>
          <w:t xml:space="preserve">section 2</w:t>
        </w:r>
      </w:hyperlink>
      <w:r>
        <w:t xml:space="preserve"> </w:t>
      </w:r>
      <w:r>
        <w:t xml:space="preserve">is classified here, explicitly,</w:t>
      </w:r>
      <w:r>
        <w:t xml:space="preserve"> </w:t>
      </w:r>
      <w:r>
        <w:t xml:space="preserve">as</w:t>
      </w:r>
      <w:r>
        <w:t xml:space="preserve"> </w:t>
      </w:r>
      <w:r>
        <w:rPr>
          <w:b/>
          <w:bCs/>
        </w:rPr>
        <w:t xml:space="preserve">advisory</w:t>
      </w:r>
      <w:r>
        <w:t xml:space="preserve">. It is a real control and it is not coverage. Both halves of that have to be written</w:t>
      </w:r>
      <w:r>
        <w:t xml:space="preserve"> </w:t>
      </w:r>
      <w:r>
        <w:t xml:space="preserve">down, or the tool inventory grows while the blocking set stands still.</w:t>
      </w:r>
    </w:p>
    <w:bookmarkEnd w:id="32"/>
    <w:bookmarkStart w:id="33"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 without</w:t>
      </w:r>
      <w:r>
        <w:t xml:space="preserve"> </w:t>
      </w:r>
      <w:r>
        <w:t xml:space="preserve">executing anything.</w:t>
      </w:r>
      <w:r>
        <w:t xml:space="preserve"> </w:t>
      </w:r>
      <w:hyperlink w:anchor="Xac02c7d32d5bb277c9e44f3436addfe1b1747df">
        <w:r>
          <w:rPr>
            <w:rStyle w:val="Hyperlink"/>
          </w:rPr>
          <w:t xml:space="preserve">Section 2</w:t>
        </w:r>
      </w:hyperlink>
      <w:r>
        <w:t xml:space="preserve">'s</w:t>
      </w:r>
      <w:r>
        <w:t xml:space="preserve"> </w:t>
      </w:r>
      <w:r>
        <w:t xml:space="preserve">malformed-input harness is the only control this document states that runs the built code against</w:t>
      </w:r>
      <w:r>
        <w:t xml:space="preserve"> </w:t>
      </w:r>
      <w:r>
        <w:t xml:space="preserve">input it did not expect. A scheduled job with no stated trigger drifts into being a green light</w:t>
      </w:r>
      <w:r>
        <w:t xml:space="preserve"> </w:t>
      </w:r>
      <w:r>
        <w:t xml:space="preserve">nobody asked a question of. Give it a policy, in three parts.</w:t>
      </w:r>
    </w:p>
    <w:p>
      <w:pPr>
        <w:pStyle w:val="BodyText"/>
      </w:pPr>
      <w:r>
        <w:t xml:space="preserve">Trigger a dynamic pass on an event, and name the events. At least these, and each is answerable from</w:t>
      </w:r>
      <w:r>
        <w:t xml:space="preserve"> </w:t>
      </w:r>
      <w:r>
        <w:t xml:space="preserve">a diff rather than from a judgment:</w:t>
      </w:r>
    </w:p>
    <w:p>
      <w:pPr>
        <w:pStyle w:val="Compact"/>
        <w:numPr>
          <w:ilvl w:val="0"/>
          <w:numId w:val="1010"/>
        </w:numPr>
      </w:pPr>
      <w:r>
        <w:t xml:space="preserve">A boundary is added to</w:t>
      </w:r>
      <w:r>
        <w:t xml:space="preserve"> </w:t>
      </w:r>
      <w:hyperlink w:anchor="Xac02c7d32d5bb277c9e44f3436addfe1b1747df">
        <w:r>
          <w:rPr>
            <w:rStyle w:val="Hyperlink"/>
          </w:rPr>
          <w:t xml:space="preserve">section 2</w:t>
        </w:r>
      </w:hyperlink>
      <w:r>
        <w:t xml:space="preserve">'s list,</w:t>
      </w:r>
      <w:r>
        <w:t xml:space="preserve"> </w:t>
      </w:r>
      <w:r>
        <w:t xml:space="preserve">or the parser, decoder or deserializer behind an existing one is replaced.</w:t>
      </w:r>
    </w:p>
    <w:p>
      <w:pPr>
        <w:pStyle w:val="Compact"/>
        <w:numPr>
          <w:ilvl w:val="0"/>
          <w:numId w:val="1010"/>
        </w:numPr>
      </w:pPr>
      <w:r>
        <w:t xml:space="preserve">A dependency that does the parsing or decoding at a boundary crosses a major version.</w:t>
      </w:r>
    </w:p>
    <w:p>
      <w:pPr>
        <w:pStyle w:val="Compact"/>
        <w:numPr>
          <w:ilvl w:val="0"/>
          <w:numId w:val="1010"/>
        </w:numPr>
      </w:pPr>
      <w:r>
        <w:t xml:space="preserve">A finding of this class arrives from any source -- an advisory, a report, a crash in the field. The</w:t>
      </w:r>
      <w:r>
        <w:t xml:space="preserve"> </w:t>
      </w:r>
      <w:r>
        <w:t xml:space="preserve">confirming run is</w:t>
      </w:r>
      <w:r>
        <w:t xml:space="preserve"> </w:t>
      </w:r>
      <w:hyperlink w:anchor="Xc32b009c31e5f6409196a95ed4c1406da6dc82b">
        <w:r>
          <w:rPr>
            <w:rStyle w:val="Hyperlink"/>
          </w:rPr>
          <w:t xml:space="preserve">section 12</w:t>
        </w:r>
      </w:hyperlink>
      <w:r>
        <w:t xml:space="preserve">'s, and it has to mirror the</w:t>
      </w:r>
      <w:r>
        <w:t xml:space="preserve"> </w:t>
      </w:r>
      <w:r>
        <w:t xml:space="preserve">original.</w:t>
      </w:r>
    </w:p>
    <w:p>
      <w:pPr>
        <w:pStyle w:val="Compact"/>
        <w:numPr>
          <w:ilvl w:val="0"/>
          <w:numId w:val="1010"/>
        </w:numPr>
      </w:pPr>
      <w:r>
        <w:t xml:space="preserve">A release changes the ingress surface.</w:t>
      </w:r>
    </w:p>
    <w:p>
      <w:pPr>
        <w:pStyle w:val="FirstParagraph"/>
      </w:pPr>
      <w:r>
        <w:t xml:space="preserve">The schedule</w:t>
      </w:r>
      <w:r>
        <w:t xml:space="preserve"> </w:t>
      </w:r>
      <w:hyperlink w:anchor="Xac02c7d32d5bb277c9e44f3436addfe1b1747df">
        <w:r>
          <w:rPr>
            <w:rStyle w:val="Hyperlink"/>
          </w:rPr>
          <w:t xml:space="preserve">section 2</w:t>
        </w:r>
      </w:hyperlink>
      <w:r>
        <w:t xml:space="preserve"> </w:t>
      </w:r>
      <w:r>
        <w:t xml:space="preserve">already sets stays</w:t>
      </w:r>
      <w:r>
        <w:t xml:space="preserve"> </w:t>
      </w:r>
      <w:r>
        <w:t xml:space="preserve">where it is, and it is doing a different job. A fuzzer finds more with more machine time, so the</w:t>
      </w:r>
      <w:r>
        <w:t xml:space="preserve"> </w:t>
      </w:r>
      <w:r>
        <w:t xml:space="preserve">scheduled run is how the corpus accumulates. The triggers are what make the pass answer a question.</w:t>
      </w:r>
      <w:r>
        <w:t xml:space="preserve"> </w:t>
      </w:r>
      <w:r>
        <w:t xml:space="preserve">Neither replaces the other, and a project running only the schedule has a control that cannot respond</w:t>
      </w:r>
      <w:r>
        <w:t xml:space="preserve"> </w:t>
      </w:r>
      <w:r>
        <w:t xml:space="preserve">to anything.</w:t>
      </w:r>
    </w:p>
    <w:p>
      <w:pPr>
        <w:pStyle w:val="BodyText"/>
      </w:pPr>
      <w:r>
        <w:t xml:space="preserve">This is not a fifth item for</w:t>
      </w:r>
      <w:r>
        <w:t xml:space="preserve"> </w:t>
      </w:r>
      <w:hyperlink w:anchor="X81f17fbbfa4ed8bd23a7201a27e52cc85d71859">
        <w:r>
          <w:rPr>
            <w:rStyle w:val="Hyperlink"/>
          </w:rPr>
          <w:t xml:space="preserve">section 14</w:t>
        </w:r>
      </w:hyperlink>
      <w:r>
        <w:t xml:space="preserve">. That pass</w:t>
      </w:r>
      <w:r>
        <w:t xml:space="preserve"> </w:t>
      </w:r>
      <w:r>
        <w:t xml:space="preserve">is capped at four, and these are events with a diff behind them rather than calendar entries. The</w:t>
      </w:r>
      <w:r>
        <w:t xml:space="preserve"> </w:t>
      </w:r>
      <w:r>
        <w:t xml:space="preserve">record required below is a field in an entry that pass already writes, so the four-item cap holds and</w:t>
      </w:r>
      <w:r>
        <w:t xml:space="preserve"> </w:t>
      </w:r>
      <w:r>
        <w:t xml:space="preserve">nothing here adds a row to the release gate in</w:t>
      </w:r>
      <w:r>
        <w:t xml:space="preserve"> </w:t>
      </w:r>
      <w:hyperlink w:anchor="X166d910d570b75bb8e35866cbb9a8eb190f1767">
        <w:r>
          <w:rPr>
            <w:rStyle w:val="Hyperlink"/>
          </w:rPr>
          <w:t xml:space="preserve">section 16</w:t>
        </w:r>
      </w:hyperlink>
      <w:r>
        <w:t xml:space="preserve">.</w:t>
      </w:r>
    </w:p>
    <w:p>
      <w:pPr>
        <w:pStyle w:val="BodyText"/>
      </w:pPr>
      <w:r>
        <w:t xml:space="preserve">Write down what no trigger reached, in the record somebody already writes.</w:t>
      </w:r>
      <w:r>
        <w:t xml:space="preserve"> </w:t>
      </w:r>
      <w:hyperlink w:anchor="X81f17fbbfa4ed8bd23a7201a27e52cc85d71859">
        <w:r>
          <w:rPr>
            <w:rStyle w:val="Hyperlink"/>
          </w:rPr>
          <w:t xml:space="preserve">Section 14</w:t>
        </w:r>
      </w:hyperlink>
      <w:r>
        <w:t xml:space="preserve">'s periodic</w:t>
      </w:r>
      <w:r>
        <w:t xml:space="preserve"> </w:t>
      </w:r>
      <w:r>
        <w:t xml:space="preserve">pass produces a dated entry recording what was checked and what changed; dynamic testing is a line in</w:t>
      </w:r>
      <w:r>
        <w:t xml:space="preserve"> </w:t>
      </w:r>
      <w:r>
        <w:t xml:space="preserve">that entry. Where no trigger has fired since the last pass, the line says dynamic testing did not run</w:t>
      </w:r>
      <w:r>
        <w:t xml:space="preserve"> </w:t>
      </w:r>
      <w:r>
        <w:t xml:space="preserve">and carries that pass's date, rather than inheriting the last green run. That places the honesty</w:t>
      </w:r>
      <w:r>
        <w:t xml:space="preserve"> </w:t>
      </w:r>
      <w:r>
        <w:t xml:space="preserve">control on an existing artifact with an existing owner and cadence, which is the only way a record of</w:t>
      </w:r>
      <w:r>
        <w:t xml:space="preserve"> </w:t>
      </w:r>
      <w:r>
        <w:t xml:space="preserve">a non-run ever gets written. Where a pass did run, record its reach and not only its result. The</w:t>
      </w:r>
      <w:r>
        <w:t xml:space="preserve"> </w:t>
      </w:r>
      <w:r>
        <w:t xml:space="preserve">harness gets at parser, decoder and boundary surfaces, and does not get at authorization decisions,</w:t>
      </w:r>
      <w:r>
        <w:t xml:space="preserve"> </w:t>
      </w:r>
      <w:r>
        <w:t xml:space="preserve">business logic, multi-step flows, or state held across requests. Those are surfaces an external</w:t>
      </w:r>
      <w:r>
        <w:t xml:space="preserve"> </w:t>
      </w:r>
      <w:r>
        <w:t xml:space="preserve">engagement reaches and this does not, which is</w:t>
      </w:r>
      <w:r>
        <w:t xml:space="preserve"> </w:t>
      </w:r>
      <w:hyperlink w:anchor="X635127d1d4d4de93cff91f98240bebbfa4bd556">
        <w:r>
          <w:rPr>
            <w:rStyle w:val="Hyperlink"/>
          </w:rPr>
          <w:t xml:space="preserve">section 15</w:t>
        </w:r>
      </w:hyperlink>
      <w:r>
        <w:t xml:space="preserve">'s gap and stays open however green this is.</w:t>
      </w:r>
    </w:p>
    <w:p>
      <w:pPr>
        <w:pStyle w:val="BodyText"/>
      </w:pPr>
      <w:r>
        <w:t xml:space="preserve">The honest limit is the one</w:t>
      </w:r>
      <w:r>
        <w:t xml:space="preserve"> </w:t>
      </w:r>
      <w:hyperlink w:anchor="Xac02c7d32d5bb277c9e44f3436addfe1b1747df">
        <w:r>
          <w:rPr>
            <w:rStyle w:val="Hyperlink"/>
          </w:rPr>
          <w:t xml:space="preserve">section 2</w:t>
        </w:r>
      </w:hyperlink>
      <w:r>
        <w:t xml:space="preserve"> </w:t>
      </w:r>
      <w:r>
        <w:t xml:space="preserve">already carries, and it is the one that decides whether any of this meant anything: a harness that</w:t>
      </w:r>
      <w:r>
        <w:t xml:space="preserve"> </w:t>
      </w:r>
      <w:r>
        <w:t xml:space="preserve">never gets past the first parse call is the dynamic-testing equivalent of a clean run on a weak</w:t>
      </w:r>
      <w:r>
        <w:t xml:space="preserve"> </w:t>
      </w:r>
      <w:r>
        <w:t xml:space="preserve">ruleset. The coverage question is what the corpus reached, never how long it ran.</w:t>
      </w:r>
    </w:p>
    <w:p>
      <w:pPr>
        <w:pStyle w:val="BodyText"/>
      </w:pPr>
      <w:r>
        <w:t xml:space="preserve">Nothing above blocks -- this section's classification of the harness as advisory does not change, and</w:t>
      </w:r>
      <w:r>
        <w:t xml:space="preserve"> </w:t>
      </w:r>
      <w:r>
        <w:t xml:space="preserve">a trigger firing produces a pass and a record, not a red change. And nothing here is borrowed at the</w:t>
      </w:r>
      <w:r>
        <w:t xml:space="preserve"> </w:t>
      </w:r>
      <w:r>
        <w:t xml:space="preserve">technique level. SP 800-115 is the publication whose subject this is, it is cited on this page for</w:t>
      </w:r>
      <w:r>
        <w:t xml:space="preserve"> </w:t>
      </w:r>
      <w:r>
        <w:t xml:space="preserve">its process material only, and its technique and tooling inventory has a row in the coverage table</w:t>
      </w:r>
      <w:r>
        <w:t xml:space="preserve"> </w:t>
      </w:r>
      <w:r>
        <w:t xml:space="preserve">saying so. That is why the trigger list and the reach statement are unmarked and this document's own.</w:t>
      </w:r>
    </w:p>
    <w:p>
      <w:pPr>
        <w:pStyle w:val="BodyText"/>
      </w:pPr>
      <w:r>
        <w:t xml:space="preserve">Normative force: a triggered pass and a dated record, recommended. Nothing blocks, and no release</w:t>
      </w:r>
      <w:r>
        <w:t xml:space="preserve"> </w:t>
      </w:r>
      <w:r>
        <w:t xml:space="preserve">condition changes.</w:t>
      </w:r>
    </w:p>
    <w:bookmarkEnd w:id="33"/>
    <w:bookmarkStart w:id="34" w:name="X8e84579fd545af19ab8cb79c93491972da372eb"/>
    <w:p>
      <w:pPr>
        <w:pStyle w:val="Heading3"/>
      </w:pPr>
      <w:r>
        <w:t xml:space="preserve">Three additions specific to a security posture</w:t>
      </w:r>
    </w:p>
    <w:p>
      <w:pPr>
        <w:pStyle w:val="FirstParagraph"/>
      </w:pPr>
      <w:r>
        <w:t xml:space="preserve">A clean run is a start condition, not a certificate. Zero findings on a weak ruleset proves nothing</w:t>
      </w:r>
      <w:r>
        <w:t xml:space="preserve"> </w:t>
      </w:r>
      <w:r>
        <w:t xml:space="preserve">at all. What the clean baseline buys you is the ability to enforce red-on-regression; that is the</w:t>
      </w:r>
      <w:r>
        <w:t xml:space="preserve"> </w:t>
      </w:r>
      <w:r>
        <w:t xml:space="preserve">whole of its value.</w:t>
      </w:r>
    </w:p>
    <w:p>
      <w:pPr>
        <w:pStyle w:val="BodyText"/>
      </w:pPr>
      <w:r>
        <w:t xml:space="preserve">Confirm the gate can see the class it exists to catch. A green gate is evidence only once you have</w:t>
      </w:r>
      <w:r>
        <w:t xml:space="preserve"> </w:t>
      </w:r>
      <w:r>
        <w:t xml:space="preserve">fired the failure class at it and watched it go red. This is stated in full under</w:t>
      </w:r>
      <w:r>
        <w:t xml:space="preserve"> </w:t>
      </w:r>
      <w:r>
        <w:rPr>
          <w:i/>
          <w:iCs/>
        </w:rPr>
        <w:t xml:space="preserve">Attack the control</w:t>
      </w:r>
      <w:r>
        <w:rPr>
          <w:i/>
          <w:iCs/>
        </w:rPr>
        <w:t xml:space="preserve"> </w:t>
      </w:r>
      <w:r>
        <w:rPr>
          <w:i/>
          <w:iCs/>
        </w:rPr>
        <w:t xml:space="preserve">with the failure class it was built to catch</w:t>
      </w:r>
      <w:r>
        <w:t xml:space="preserve"> </w:t>
      </w:r>
      <w:r>
        <w:t xml:space="preserve">in</w:t>
      </w:r>
      <w:r>
        <w:t xml:space="preserve"> </w:t>
      </w:r>
      <w:hyperlink r:id="rId24">
        <w:r>
          <w:rPr>
            <w:rStyle w:val="Hyperlink"/>
          </w:rPr>
          <w:t xml:space="preserve">CI and standards</w:t>
        </w:r>
      </w:hyperlink>
      <w:r>
        <w:t xml:space="preserve">, and it applies to every check in this section.</w:t>
      </w:r>
    </w:p>
    <w:p>
      <w:pPr>
        <w:pStyle w:val="BodyText"/>
      </w:pPr>
      <w:r>
        <w:t xml:space="preserve">The per-finding form of the same discipline -- a finding is closed by its own check going green on</w:t>
      </w:r>
      <w:r>
        <w:t xml:space="preserve"> </w:t>
      </w:r>
      <w:r>
        <w:t xml:space="preserve">the commit carrying the fix, never by the fix merging -- is in</w:t>
      </w:r>
      <w:r>
        <w:t xml:space="preserve"> </w:t>
      </w:r>
      <w:hyperlink w:anchor="Xc32b009c31e5f6409196a95ed4c1406da6dc82b">
        <w:r>
          <w:rPr>
            <w:rStyle w:val="Hyperlink"/>
          </w:rPr>
          <w:t xml:space="preserve">section 12</w:t>
        </w:r>
      </w:hyperlink>
      <w:r>
        <w:t xml:space="preserve">. It is one rule read at two scales, not two rules.</w:t>
      </w:r>
    </w:p>
    <w:p>
      <w:pPr>
        <w:pStyle w:val="BodyText"/>
      </w:pPr>
      <w:r>
        <w:t xml:space="preserve">Enumerate the sibling paths. A control implemented exactly where it was prompted, and missing on its</w:t>
      </w:r>
      <w:r>
        <w:t xml:space="preserve"> </w:t>
      </w:r>
      <w:r>
        <w:t xml:space="preserve">siblings, is the single most common residual after an agent-run security sweep. Encode the control as</w:t>
      </w:r>
      <w:r>
        <w:t xml:space="preserve"> </w:t>
      </w:r>
      <w:r>
        <w:t xml:space="preserve">one deterministic check shared across every path rather than as a habit applied per path.</w:t>
      </w:r>
    </w:p>
    <w:p>
      <w:pPr>
        <w:pStyle w:val="BodyText"/>
      </w:pPr>
      <w:r>
        <w:t xml:space="preserve">Record rigor and scope as two separate values for each blocking check, never as one. A check that ran</w:t>
      </w:r>
      <w:r>
        <w:t xml:space="preserve"> </w:t>
      </w:r>
      <w:r>
        <w:t xml:space="preserve">on one path at high rigor and a check that ran on every path at low rigor both report green, and no</w:t>
      </w:r>
      <w:r>
        <w:t xml:space="preserve"> </w:t>
      </w:r>
      <w:r>
        <w:t xml:space="preserve">tool will tell you which of the two you have. Against each check in the blocking list, note how deep</w:t>
      </w:r>
      <w:r>
        <w:t xml:space="preserve"> </w:t>
      </w:r>
      <w:r>
        <w:t xml:space="preserve">it looks -- a pattern match, a taint analysis, an executed test -- and how much of the surface it</w:t>
      </w:r>
      <w:r>
        <w:t xml:space="preserve"> </w:t>
      </w:r>
      <w:r>
        <w:t xml:space="preserve">covers: this module, every sibling, the whole tree. Filled in, a row reads pattern match / this</w:t>
      </w:r>
      <w:r>
        <w:t xml:space="preserve"> </w:t>
      </w:r>
      <w:r>
        <w:t xml:space="preserve">module, or taint analysis / whole tree.</w:t>
      </w:r>
    </w:p>
    <w:p>
      <w:pPr>
        <w:pStyle w:val="BodyText"/>
      </w:pPr>
      <w:r>
        <w:t xml:space="preserve">Two words per row, filled in once when the check is added, and it is the fastest way to notice that</w:t>
      </w:r>
      <w:r>
        <w:t xml:space="preserve"> </w:t>
      </w:r>
      <w:r>
        <w:t xml:space="preserve">the most rigorous check in the suite runs on one directory. The sibling rule above is the scope half</w:t>
      </w:r>
      <w:r>
        <w:t xml:space="preserve"> </w:t>
      </w:r>
      <w:r>
        <w:t xml:space="preserve">already stated on its own; this pairs it with the depth half, so neither can quietly stand in for the</w:t>
      </w:r>
      <w:r>
        <w:t xml:space="preserve"> </w:t>
      </w:r>
      <w:r>
        <w:t xml:space="preserve">other. It records what you already have, so it adds no blocking condition.</w:t>
      </w:r>
    </w:p>
    <w:bookmarkEnd w:id="34"/>
    <w:bookmarkStart w:id="35" w:name="the-security-anti-metrics"/>
    <w:p>
      <w:pPr>
        <w:pStyle w:val="Heading3"/>
      </w:pPr>
      <w:r>
        <w:t xml:space="preserve">The security anti-metrics</w:t>
      </w:r>
    </w:p>
    <w:p>
      <w:pPr>
        <w:pStyle w:val="FirstParagraph"/>
      </w:pPr>
      <w:r>
        <w:t xml:space="preserve">The site already forbids gating on a single gameable number, with the general metric evidence. These</w:t>
      </w:r>
      <w:r>
        <w:t xml:space="preserve"> </w:t>
      </w:r>
      <w:r>
        <w:t xml:space="preserve">are the security-specific badges that impersonate a verdict. Each may be surfaced as advisory</w:t>
      </w:r>
      <w:r>
        <w:t xml:space="preserve"> </w:t>
      </w:r>
      <w:r>
        <w:t xml:space="preserve">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It is not coverage, and counting citations scores nothing</w:t>
            </w:r>
          </w:p>
        </w:tc>
      </w:tr>
    </w:tbl>
    <w:p>
      <w:pPr>
        <w:pStyle w:val="BodyText"/>
      </w:pPr>
      <w:r>
        <w:rPr>
          <w:b/>
          <w:bCs/>
        </w:rPr>
        <w:t xml:space="preserve">There is no validated threshold at which a build becomes secure.</w:t>
      </w:r>
      <w:r>
        <w:t xml:space="preserve"> </w:t>
      </w:r>
      <w:r>
        <w:t xml:space="preserve">No framework supplies one --</w:t>
      </w:r>
      <w:r>
        <w:t xml:space="preserve"> </w:t>
      </w:r>
      <w:r>
        <w:t xml:space="preserve">not a blocking-check count, not a pass rate, not a remediation-time floor. Any number you adopt is</w:t>
      </w:r>
      <w:r>
        <w:t xml:space="preserve"> </w:t>
      </w:r>
      <w:r>
        <w:t xml:space="preserve">project-set and directional. Label it that way, and review it as your own data accumulates.</w:t>
      </w:r>
    </w:p>
    <w:p>
      <w:r>
        <w:pict>
          <v:rect style="width:0;height:1.5pt" o:hralign="center" o:hrstd="t" o:hr="t"/>
        </w:pict>
      </w:r>
    </w:p>
    <w:bookmarkEnd w:id="35"/>
    <w:bookmarkEnd w:id="36"/>
    <w:bookmarkStart w:id="37" w:name="X008abd79804448b13ff485fe9ff5830c953e411"/>
    <w:p>
      <w:pPr>
        <w:pStyle w:val="Heading2"/>
      </w:pPr>
      <w:r>
        <w:t xml:space="preserve">6. Secrets and repository hygiene</w:t>
      </w:r>
    </w:p>
    <w:p>
      <w:pPr>
        <w:pStyle w:val="FirstParagraph"/>
      </w:pPr>
      <w:r>
        <w:t xml:space="preserve">No secrets, keys, credentials, or restricted data ever enter the repository, and the full history</w:t>
      </w:r>
      <w:r>
        <w:t xml:space="preserve"> </w:t>
      </w:r>
      <w:r>
        <w:t xml:space="preserve">stays clean rather than only the current tree. This is not a private-repository exemption: a</w:t>
      </w:r>
      <w:r>
        <w:t xml:space="preserve"> </w:t>
      </w:r>
      <w:r>
        <w:t xml:space="preserve">repository's visibility can change, and its history travels when it does.</w:t>
      </w:r>
    </w:p>
    <w:p>
      <w:pPr>
        <w:pStyle w:val="BodyText"/>
      </w:pPr>
      <w:r>
        <w:t xml:space="preserve">The rule and its mechanics are owned by</w:t>
      </w:r>
      <w:r>
        <w:t xml:space="preserve"> </w:t>
      </w:r>
      <w:hyperlink r:id="rId31">
        <w:r>
          <w:rPr>
            <w:rStyle w:val="Hyperlink"/>
          </w:rPr>
          <w:t xml:space="preserve">the leak gate</w:t>
        </w:r>
      </w:hyperlink>
      <w:r>
        <w:t xml:space="preserve"> </w:t>
      </w:r>
      <w:r>
        <w:t xml:space="preserve">and by</w:t>
      </w:r>
      <w:r>
        <w:t xml:space="preserve"> </w:t>
      </w:r>
      <w:r>
        <w:rPr>
          <w:i/>
          <w:iCs/>
        </w:rPr>
        <w:t xml:space="preserve">Secrets and sensitive</w:t>
      </w:r>
      <w:r>
        <w:rPr>
          <w:i/>
          <w:iCs/>
        </w:rPr>
        <w:t xml:space="preserve"> </w:t>
      </w:r>
      <w:r>
        <w:rPr>
          <w:i/>
          <w:iCs/>
        </w:rPr>
        <w:t xml:space="preserve">data never enter the repository, wherever it is stored</w:t>
      </w:r>
      <w:r>
        <w:t xml:space="preserve"> </w:t>
      </w:r>
      <w:r>
        <w:t xml:space="preserve">in</w:t>
      </w:r>
      <w:r>
        <w:t xml:space="preserve"> </w:t>
      </w:r>
      <w:hyperlink r:id="rId24">
        <w:r>
          <w:rPr>
            <w:rStyle w:val="Hyperlink"/>
          </w:rPr>
          <w:t xml:space="preserve">CI and standards</w:t>
        </w:r>
      </w:hyperlink>
      <w:r>
        <w:t xml:space="preserve">. Two points belong to the process rather than the scanner.</w:t>
      </w:r>
    </w:p>
    <w:p>
      <w:pPr>
        <w:pStyle w:val="BodyText"/>
      </w:pPr>
      <w:r>
        <w:t xml:space="preserve">A path deny-list is not a content control. It keeps a file from being read; it does nothing about the</w:t>
      </w:r>
      <w:r>
        <w:t xml:space="preserve"> </w:t>
      </w:r>
      <w:r>
        <w:t xml:space="preserve">same content typed into a different file. Pair it with a fail-closed commit-time content scan.</w:t>
      </w:r>
    </w:p>
    <w:p>
      <w:pPr>
        <w:pStyle w:val="BodyText"/>
      </w:pPr>
      <w:r>
        <w:t xml:space="preserve">A commit-time scanner is not a live interceptor. It sees what lands in a commit. It does not see an</w:t>
      </w:r>
      <w:r>
        <w:t xml:space="preserve"> </w:t>
      </w:r>
      <w:r>
        <w:t xml:space="preserve">outbound query, a tool-server call, or a fetch argument.</w:t>
      </w:r>
    </w:p>
    <w:p>
      <w:pPr>
        <w:pStyle w:val="BodyText"/>
      </w:pPr>
      <w:r>
        <w:t xml:space="preserve">Nothing mechanical stands between a running agent and that channel, so the discipline there is on the</w:t>
      </w:r>
      <w:r>
        <w:t xml:space="preserve"> </w:t>
      </w:r>
      <w:r>
        <w:t xml:space="preserve">human -- and the standard has to say so, rather than letting the green scanner imply coverage it does</w:t>
      </w:r>
      <w:r>
        <w:t xml:space="preserve"> </w:t>
      </w:r>
      <w:r>
        <w:t xml:space="preserve">not have.</w:t>
      </w:r>
    </w:p>
    <w:p>
      <w:r>
        <w:pict>
          <v:rect style="width:0;height:1.5pt" o:hralign="center" o:hrstd="t" o:hr="t"/>
        </w:pict>
      </w:r>
    </w:p>
    <w:bookmarkEnd w:id="37"/>
    <w:bookmarkStart w:id="40" w:name="X14e6323bcf6e9b0e8faa6bdd21b76d13cd211dd"/>
    <w:p>
      <w:pPr>
        <w:pStyle w:val="Heading2"/>
      </w:pPr>
      <w:r>
        <w:t xml:space="preserve">7. Secure defaults, and the opt-in that must be explicit</w:t>
      </w:r>
    </w:p>
    <w:p>
      <w:pPr>
        <w:pStyle w:val="FirstParagraph"/>
      </w:pP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w:t>
      </w:r>
      <w:r>
        <w:t xml:space="preserve"> </w:t>
      </w:r>
      <w:r>
        <w:t xml:space="preserve">least-privilege accounts, and verbose audit logging. Any insecure posture is an explicit, named,</w:t>
      </w:r>
      <w:r>
        <w:t xml:space="preserve"> </w:t>
      </w:r>
      <w:r>
        <w:t xml:space="preserve">documented and audited opt-in behind a fail-closed guard -- never a posture a deployment inherits by</w:t>
      </w:r>
      <w:r>
        <w:t xml:space="preserve"> </w:t>
      </w:r>
      <w:r>
        <w:t xml:space="preserve">omission.</w:t>
      </w:r>
    </w:p>
    <w:p>
      <w:pPr>
        <w:pStyle w:val="BodyText"/>
      </w:pPr>
      <w:r>
        <w:t xml:space="preserve">The at-rest half of that used to be unverifiable, and the reason was never a missing mechanism. It</w:t>
      </w:r>
      <w:r>
        <w:t xml:space="preserve"> </w:t>
      </w:r>
      <w:r>
        <w:t xml:space="preserve">was that nobody had said what it was quantified over. The table's third and fourth columns are what</w:t>
      </w:r>
      <w:r>
        <w:t xml:space="preserve"> </w:t>
      </w:r>
      <w:r>
        <w:t xml:space="preserve">make it checkable: the default holds when every resting place listed for a restricted class has a</w:t>
      </w:r>
      <w:r>
        <w:t xml:space="preserve"> </w:t>
      </w:r>
      <w:r>
        <w:t xml:space="preserve">protection recorded against it, and the retention column says how long each one keeps it.</w:t>
      </w:r>
    </w:p>
    <w:p>
      <w:pPr>
        <w:pStyle w:val="BodyText"/>
      </w:pPr>
      <w:r>
        <w:t xml:space="preserve">Two reading errors go with this, and both are defects in opposite directions.</w:t>
      </w:r>
    </w:p>
    <w:p>
      <w:pPr>
        <w:pStyle w:val="BodyText"/>
      </w:pPr>
      <w:r>
        <w:t xml:space="preserve">Off by default, described as active. The code exists; nothing is running.</w:t>
      </w:r>
    </w:p>
    <w:p>
      <w:pPr>
        <w:pStyle w:val="BodyText"/>
      </w:pPr>
      <w:r>
        <w:t xml:space="preserve">Fail-closed, mis-read as inert. It looks like nothing is happening because nothing needs to.</w:t>
      </w:r>
    </w:p>
    <w:p>
      <w:pPr>
        <w:pStyle w:val="BodyText"/>
      </w:pPr>
      <w:r>
        <w:t xml:space="preserve">Score and describe those states separately, and state fail-open versus fail-closed next to the code</w:t>
      </w:r>
      <w:r>
        <w:t xml:space="preserve"> </w:t>
      </w:r>
      <w:r>
        <w:t xml:space="preserve">with the reason -- see</w:t>
      </w:r>
      <w:r>
        <w:t xml:space="preserve"> </w:t>
      </w:r>
      <w:r>
        <w:rPr>
          <w:i/>
          <w:iCs/>
        </w:rPr>
        <w:t xml:space="preserve">Fail-open or fail-closed is a choice you must state</w:t>
      </w:r>
      <w:r>
        <w:t xml:space="preserve"> </w:t>
      </w:r>
      <w:r>
        <w:t xml:space="preserve">in</w:t>
      </w:r>
      <w:r>
        <w:t xml:space="preserve"> </w:t>
      </w:r>
      <w:hyperlink r:id="rId24">
        <w:r>
          <w:rPr>
            <w:rStyle w:val="Hyperlink"/>
          </w:rPr>
          <w:t xml:space="preserve">CI and standards</w:t>
        </w:r>
      </w:hyperlink>
      <w:r>
        <w:t xml:space="preserve">.</w:t>
      </w:r>
    </w:p>
    <w:bookmarkStart w:id="38" w:name="Xb97d7c0c1ae0709af64fd2b41a96e8b87e7072c"/>
    <w:p>
      <w:pPr>
        <w:pStyle w:val="Heading3"/>
      </w:pPr>
      <w:r>
        <w:t xml:space="preserve">Synthetic data by default in anything that is not production</w:t>
      </w:r>
    </w:p>
    <w:p>
      <w:pPr>
        <w:pStyle w:val="FirstParagraph"/>
      </w:pPr>
      <w:r>
        <w:t xml:space="preserve">Test, development and preproduction environments run on synthetic or dummy data, and any use of live</w:t>
      </w:r>
      <w:r>
        <w:t xml:space="preserve"> </w:t>
      </w:r>
      <w:r>
        <w:t xml:space="preserve">or operational data is approved, documented and dated in the</w:t>
      </w:r>
      <w:r>
        <w:t xml:space="preserve"> </w:t>
      </w:r>
      <w:hyperlink w:anchor="X2e76d4b347a06a9540373165195f11ae36f497b">
        <w:r>
          <w:rPr>
            <w:rStyle w:val="Hyperlink"/>
          </w:rPr>
          <w:t xml:space="preserve">section 13</w:t>
        </w:r>
      </w:hyperlink>
      <w:r>
        <w:t xml:space="preserve"> </w:t>
      </w:r>
      <w:r>
        <w:t xml:space="preserve">deviations register, with that environment protected</w:t>
      </w:r>
      <w:r>
        <w:t xml:space="preserve"> </w:t>
      </w:r>
      <w:r>
        <w:t xml:space="preserve">to the same level as the system the data came from for as long as it is present.</w:t>
      </w:r>
      <w:r>
        <w:t xml:space="preserve"> </w:t>
      </w:r>
      <w:r>
        <w:rPr>
          <w:b/>
          <w:bCs/>
        </w:rPr>
        <w:t xml:space="preserve">[derived: 800-53 SA-3(2)]</w:t>
      </w:r>
      <w:r>
        <w:t xml:space="preserve"> </w:t>
      </w:r>
      <w:r>
        <w:t xml:space="preserve">The approve-document-control clause and the equal-level clause are the</w:t>
      </w:r>
      <w:r>
        <w:t xml:space="preserve"> </w:t>
      </w:r>
      <w:r>
        <w:t xml:space="preserve">control; synthetic-by-default is the posture its own discussion directs, stated here as the default</w:t>
      </w:r>
      <w:r>
        <w:t xml:space="preserve"> </w:t>
      </w:r>
      <w:r>
        <w:t xml:space="preserve">so the approval path is the exception rather than the norm.</w:t>
      </w:r>
    </w:p>
    <w:p>
      <w:pPr>
        <w:pStyle w:val="BodyText"/>
      </w:pPr>
      <w:r>
        <w:t xml:space="preserve">State the ratchet explicitly, because it is the part people get backwards. Copying a restricted class</w:t>
      </w:r>
      <w:r>
        <w:t xml:space="preserve"> </w:t>
      </w:r>
      <w:r>
        <w:t xml:space="preserve">into a test environment does not lower that data's protection requirement -- it raises the</w:t>
      </w:r>
      <w:r>
        <w:t xml:space="preserve"> </w:t>
      </w:r>
      <w:r>
        <w:t xml:space="preserve">environment's. That is the entire argument for the default being synthetic, because the alternative is</w:t>
      </w:r>
      <w:r>
        <w:t xml:space="preserve"> </w:t>
      </w:r>
      <w:r>
        <w:t xml:space="preserve">protecting every scratch environment like production, permanently. It also supplies a protection for a</w:t>
      </w:r>
      <w:r>
        <w:t xml:space="preserve"> </w:t>
      </w:r>
      <w:r>
        <w:t xml:space="preserve">resting place</w:t>
      </w:r>
      <w:r>
        <w:t xml:space="preserve"> </w:t>
      </w:r>
      <w:hyperlink w:anchor="Xf8794b0126bc78285fb10778097a0695650e57d">
        <w:r>
          <w:rPr>
            <w:rStyle w:val="Hyperlink"/>
          </w:rPr>
          <w:t xml:space="preserve">section 1</w:t>
        </w:r>
      </w:hyperlink>
      <w:r>
        <w:t xml:space="preserve">'s table would otherwise</w:t>
      </w:r>
      <w:r>
        <w:t xml:space="preserve"> </w:t>
      </w:r>
      <w:r>
        <w:t xml:space="preserve">list bare: the test fixture. The evidence is the fixture or the generator that produces the synthetic</w:t>
      </w:r>
      <w:r>
        <w:t xml:space="preserve"> </w:t>
      </w:r>
      <w:r>
        <w:t xml:space="preserve">data, plus a dated register entry naming what was copied, where it went, and when it was destroyed.</w:t>
      </w:r>
      <w:r>
        <w:t xml:space="preserve"> </w:t>
      </w:r>
      <w:r>
        <w:t xml:space="preserve">This is a default and a register route, not a new blocking release gate.</w:t>
      </w:r>
    </w:p>
    <w:bookmarkEnd w:id="38"/>
    <w:bookmarkStart w:id="39" w:name="X4eda1cea0fbf2b691f9051769e165ce2d910452"/>
    <w:p>
      <w:pPr>
        <w:pStyle w:val="Heading3"/>
      </w:pPr>
      <w:r>
        <w:t xml:space="preserve">Rate a collection by the highest class it holds</w:t>
      </w:r>
    </w:p>
    <w:p>
      <w:pPr>
        <w:pStyle w:val="FirstParagraph"/>
      </w:pPr>
      <w:r>
        <w:rPr>
          <w:b/>
          <w:bCs/>
        </w:rPr>
        <w:t xml:space="preserve">Rate a collection by the highest class it holds, never by the average and never per entry.</w:t>
      </w:r>
      <w:r>
        <w:t xml:space="preserve"> </w:t>
      </w:r>
      <w:r>
        <w:rPr>
          <w:b/>
          <w:bCs/>
        </w:rPr>
        <w:t xml:space="preserve">[derived: FIPS 199]</w:t>
      </w:r>
      <w:r>
        <w:t xml:space="preserve"> </w:t>
      </w:r>
      <w:r>
        <w:t xml:space="preserve">The at-rest default above is quantified over resting places, and several of</w:t>
      </w:r>
      <w:r>
        <w:t xml:space="preserve"> </w:t>
      </w:r>
      <w:r>
        <w:t xml:space="preserve">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has an entry-level rule about keeping payloads</w:t>
      </w:r>
      <w:r>
        <w:t xml:space="preserve"> </w:t>
      </w:r>
      <w:r>
        <w:t xml:space="preserve">out and says nothing about the accumulated record. The</w:t>
      </w:r>
      <w:r>
        <w:t xml:space="preserve"> </w:t>
      </w:r>
      <w:hyperlink w:anchor="X48eebdbfd8d38cb086e115614d17c7297664944">
        <w:r>
          <w:rPr>
            <w:rStyle w:val="Hyperlink"/>
          </w:rPr>
          <w:t xml:space="preserve">section 10</w:t>
        </w:r>
      </w:hyperlink>
      <w:r>
        <w:t xml:space="preserve"> </w:t>
      </w:r>
      <w:r>
        <w:t xml:space="preserve">release archive holds the artifact plus its build</w:t>
      </w:r>
      <w:r>
        <w:t xml:space="preserve"> </w:t>
      </w:r>
      <w:r>
        <w:t xml:space="preserve">inputs plus its inventory, and is therefore a map of the whole system that no single input is. The</w:t>
      </w:r>
      <w:r>
        <w:t xml:space="preserve"> </w:t>
      </w:r>
      <w:hyperlink w:anchor="X2e76d4b347a06a9540373165195f11ae36f497b">
        <w:r>
          <w:rPr>
            <w:rStyle w:val="Hyperlink"/>
          </w:rPr>
          <w:t xml:space="preserve">section 13</w:t>
        </w:r>
      </w:hyperlink>
      <w:r>
        <w:t xml:space="preserve"> </w:t>
      </w:r>
      <w:r>
        <w:t xml:space="preserve">deviations register is the third. Each is</w:t>
      </w:r>
      <w:r>
        <w:t xml:space="preserve"> </w:t>
      </w:r>
      <w:r>
        <w:t xml:space="preserve">individually innocuous, and collectively they are the thing an attacker would actually want.</w:t>
      </w:r>
    </w:p>
    <w:p>
      <w:pPr>
        <w:pStyle w:val="BodyText"/>
      </w:pPr>
      <w:hyperlink w:anchor="X2e76d4b347a06a9540373165195f11ae36f497b">
        <w:r>
          <w:rPr>
            <w:rStyle w:val="Hyperlink"/>
          </w:rPr>
          <w:t xml:space="preserve">Section 13</w:t>
        </w:r>
      </w:hyperlink>
      <w:r>
        <w:t xml:space="preserve"> </w:t>
      </w:r>
      <w:r>
        <w:t xml:space="preserve">already reaches the right answer for the register --</w:t>
      </w:r>
      <w:r>
        <w:t xml:space="preserve"> </w:t>
      </w:r>
      <w:r>
        <w:t xml:space="preserve">publish the rule, not the inventory -- but it reaches it as a standalone instruction. Naming the</w:t>
      </w:r>
      <w:r>
        <w:t xml:space="preserve"> </w:t>
      </w:r>
      <w:r>
        <w:t xml:space="preserve">roll-up as the principle is what generalises it to the other two. This is a rating decision on three</w:t>
      </w:r>
      <w:r>
        <w:t xml:space="preserve"> </w:t>
      </w:r>
      <w:r>
        <w:t xml:space="preserve">named artifacts rather than a process. It is evidenced by the access posture on each: who can read</w:t>
      </w:r>
      <w:r>
        <w:t xml:space="preserve"> </w:t>
      </w:r>
      <w:r>
        <w:t xml:space="preserve">the archive, whether the register sits in the published tree, and whether the audit log has a row in</w:t>
      </w:r>
      <w:r>
        <w:t xml:space="preserve"> </w:t>
      </w:r>
      <w:hyperlink w:anchor="Xf8794b0126bc78285fb10778097a0695650e57d">
        <w:r>
          <w:rPr>
            <w:rStyle w:val="Hyperlink"/>
          </w:rPr>
          <w:t xml:space="preserve">section 1</w:t>
        </w:r>
      </w:hyperlink>
      <w:r>
        <w:t xml:space="preserve">'s table.</w:t>
      </w:r>
    </w:p>
    <w:p>
      <w:r>
        <w:pict>
          <v:rect style="width:0;height:1.5pt" o:hralign="center" o:hrstd="t" o:hr="t"/>
        </w:pict>
      </w:r>
    </w:p>
    <w:bookmarkEnd w:id="39"/>
    <w:bookmarkEnd w:id="40"/>
    <w:bookmarkStart w:id="42" w:name="X08c545cdaea16d13c66d050a73fae11a3e2b4eb"/>
    <w:p>
      <w:pPr>
        <w:pStyle w:val="Heading2"/>
      </w:pPr>
      <w:r>
        <w:t xml:space="preserve">8. Machine-to-machine authentication</w:t>
      </w:r>
    </w:p>
    <w:p>
      <w:pPr>
        <w:pStyle w:val="FirstParagraph"/>
      </w:pPr>
      <w:r>
        <w:t xml:space="preserve">A caller that is a machine authenticates as a system, not a person. Use the strongest mechanism</w:t>
      </w:r>
      <w:r>
        <w:t xml:space="preserve"> </w:t>
      </w:r>
      <w:r>
        <w:t xml:space="preserve">the peer system supports.</w:t>
      </w:r>
    </w:p>
    <w:p>
      <w:pPr>
        <w:pStyle w:val="BodyText"/>
      </w:pPr>
      <w:r>
        <w:t xml:space="preserve">Record, per connection, the mechanism, its scope, and a reference to where the credential lives. Keep</w:t>
      </w:r>
      <w:r>
        <w:t xml:space="preserve"> </w:t>
      </w:r>
      <w:r>
        <w:t xml:space="preserve">that record alongside that connection's configuration, so the posture is reviewable one connection at</w:t>
      </w:r>
      <w:r>
        <w:t xml:space="preserve"> </w:t>
      </w:r>
      <w:r>
        <w:t xml:space="preserve">a time rather than as a paragraph of prose.</w:t>
      </w:r>
    </w:p>
    <w:p>
      <w:pPr>
        <w:pStyle w:val="BodyText"/>
      </w:pPr>
      <w:r>
        <w:t xml:space="preserve">A workable hierarchy, strongest first:</w:t>
      </w:r>
    </w:p>
    <w:p>
      <w:pPr>
        <w:pStyle w:val="Compact"/>
        <w:numPr>
          <w:ilvl w:val="0"/>
          <w:numId w:val="1011"/>
        </w:numPr>
      </w:pPr>
      <w:r>
        <w:rPr>
          <w:b/>
          <w:bCs/>
        </w:rPr>
        <w:t xml:space="preserve">Mutual TLS</w:t>
      </w:r>
      <w:r>
        <w:t xml:space="preserve"> </w:t>
      </w:r>
      <w:r>
        <w:t xml:space="preserve">with full chain validation, revocation checking, and rotation before expiry.</w:t>
      </w:r>
    </w:p>
    <w:p>
      <w:pPr>
        <w:pStyle w:val="Compact"/>
        <w:numPr>
          <w:ilvl w:val="0"/>
          <w:numId w:val="1011"/>
        </w:numPr>
      </w:pPr>
      <w:r>
        <w:rPr>
          <w:b/>
          <w:bCs/>
        </w:rPr>
        <w:t xml:space="preserve">A client-credentials grant</w:t>
      </w:r>
      <w:r>
        <w:t xml:space="preserve">, preferring asymmetric client authentication over a shared secret,</w:t>
      </w:r>
      <w:r>
        <w:t xml:space="preserve"> </w:t>
      </w:r>
      <w:r>
        <w:t xml:space="preserve">issuing short-lived per-connection scoped tokens whose issuer, audience, expiry and scope are</w:t>
      </w:r>
      <w:r>
        <w:t xml:space="preserve"> </w:t>
      </w:r>
      <w:r>
        <w:t xml:space="preserve">validated on every request.</w:t>
      </w:r>
    </w:p>
    <w:p>
      <w:pPr>
        <w:pStyle w:val="Compact"/>
        <w:numPr>
          <w:ilvl w:val="0"/>
          <w:numId w:val="1011"/>
        </w:numPr>
      </w:pPr>
      <w:r>
        <w:rPr>
          <w:b/>
          <w:bCs/>
        </w:rPr>
        <w:t xml:space="preserve">Weaker mechanisms</w:t>
      </w:r>
      <w:r>
        <w:t xml:space="preserve"> </w:t>
      </w:r>
      <w:r>
        <w:t xml:space="preserve">-- a shared secret over TLS, a per-connection API key, a message-level</w:t>
      </w:r>
      <w:r>
        <w:t xml:space="preserve"> </w:t>
      </w:r>
      <w:r>
        <w:t xml:space="preserve">username token -- stay supported for peers that cannot do better, but only with a recorded</w:t>
      </w:r>
      <w:r>
        <w:t xml:space="preserve"> </w:t>
      </w:r>
      <w:r>
        <w:t xml:space="preserve">per-connection exception. The value of the record is that the weak connections are a short</w:t>
      </w:r>
      <w:r>
        <w:t xml:space="preserve"> </w:t>
      </w:r>
      <w:r>
        <w:t xml:space="preserve">explicit list rather than a discovery.</w:t>
      </w:r>
    </w:p>
    <w:p>
      <w:pPr>
        <w:pStyle w:val="FirstParagraph"/>
      </w:pPr>
      <w:r>
        <w:t xml:space="preserve">Across all of them: no cleartext transport for restricted data; credentials in a secret store and</w:t>
      </w:r>
      <w:r>
        <w:t xml:space="preserve"> </w:t>
      </w:r>
      <w:r>
        <w:t xml:space="preserve">never in code or configuration; least privilege per connection; network-level restriction as</w:t>
      </w:r>
      <w:r>
        <w:t xml:space="preserve"> </w:t>
      </w:r>
      <w:r>
        <w:t xml:space="preserve">defense in depth.</w:t>
      </w:r>
    </w:p>
    <w:bookmarkStart w:id="41" w:name="X3d7ee481263114e250585e60a9d5c13e5a28baf"/>
    <w:p>
      <w:pPr>
        <w:pStyle w:val="Heading3"/>
      </w:pPr>
      <w:r>
        <w:t xml:space="preserve">Service accounts: no long-lived secret in a file</w:t>
      </w:r>
    </w:p>
    <w:p>
      <w:pPr>
        <w:pStyle w:val="FirstParagraph"/>
      </w:pPr>
      <w:r>
        <w:t xml:space="preserve">Run under a least-privilege account whose credential rotates automatically and is never stored in</w:t>
      </w:r>
      <w:r>
        <w:t xml:space="preserve"> </w:t>
      </w:r>
      <w:r>
        <w:t xml:space="preserve">configuration. Where the platform offers a managed service identity, use it. Where the data store</w:t>
      </w:r>
      <w:r>
        <w:t xml:space="preserve"> </w:t>
      </w:r>
      <w:r>
        <w:t xml:space="preserve">accepts the service identity directly, authenticate that way rather than with a stored password.</w:t>
      </w:r>
    </w:p>
    <w:p>
      <w:pPr>
        <w:pStyle w:val="BodyText"/>
      </w:pPr>
      <w:r>
        <w:t xml:space="preserve">Perform directory lookups only over a TLS-protected channel and fail closed on a cleartext one. The</w:t>
      </w:r>
      <w:r>
        <w:t xml:space="preserve"> </w:t>
      </w:r>
      <w:r>
        <w:t xml:space="preserve">mechanics are platform-specific; the transferable property is that</w:t>
      </w:r>
      <w:r>
        <w:t xml:space="preserve"> </w:t>
      </w:r>
      <w:r>
        <w:rPr>
          <w:b/>
          <w:bCs/>
        </w:rPr>
        <w:t xml:space="preserve">no long-lived secret exists in a</w:t>
      </w:r>
      <w:r>
        <w:rPr>
          <w:b/>
          <w:bCs/>
        </w:rPr>
        <w:t xml:space="preserve"> </w:t>
      </w:r>
      <w:r>
        <w:rPr>
          <w:b/>
          <w:bCs/>
        </w:rPr>
        <w:t xml:space="preserve">file</w:t>
      </w:r>
      <w:r>
        <w:t xml:space="preserve"> </w:t>
      </w:r>
      <w:r>
        <w:t xml:space="preserv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41"/>
    <w:bookmarkEnd w:id="42"/>
    <w:bookmarkStart w:id="45" w:name="X11a9cb1723e5b511bbccf75d2588530cdcc5b38"/>
    <w:p>
      <w:pPr>
        <w:pStyle w:val="Heading2"/>
      </w:pPr>
      <w:r>
        <w:t xml:space="preserve">9. Tamper-evident audit logging</w:t>
      </w:r>
    </w:p>
    <w:p>
      <w:pPr>
        <w:pStyle w:val="FirstParagraph"/>
      </w:pPr>
      <w:r>
        <w:t xml:space="preserve">Produce an append-only, timestamped, actor-attributed audit log with a hash chain over its entries,</w:t>
      </w:r>
      <w:r>
        <w:t xml:space="preserve"> </w:t>
      </w:r>
      <w:r>
        <w:t xml:space="preserve">so alteration is detectable rather than merely discouraged. Gate reads on it. Keep secrets and</w:t>
      </w:r>
      <w:r>
        <w:t xml:space="preserve"> </w:t>
      </w:r>
      <w:r>
        <w:t xml:space="preserve">restricted data out of it entirely at informational level and above.</w:t>
      </w:r>
    </w:p>
    <w:p>
      <w:pPr>
        <w:pStyle w:val="BodyText"/>
      </w:pPr>
      <w:r>
        <w:t xml:space="preserve">An ordinary application log cannot tell an incident review whether the record was altered. A chained</w:t>
      </w:r>
      <w:r>
        <w:t xml:space="preserve"> </w:t>
      </w:r>
      <w:r>
        <w:t xml:space="preserve">one can, and it costs one hash per entry.</w:t>
      </w:r>
    </w:p>
    <w:p>
      <w:pPr>
        <w:pStyle w:val="BodyText"/>
      </w:pPr>
      <w:r>
        <w:t xml:space="preserve">Where the deployment is exposed beyond a single trusted host, off-box forwarding over TLS is what</w:t>
      </w:r>
      <w:r>
        <w:t xml:space="preserve"> </w:t>
      </w:r>
      <w:r>
        <w:t xml:space="preserve">stops a compromise of the host from also erasing its own record. Record that as an</w:t>
      </w:r>
      <w:r>
        <w:t xml:space="preserve"> </w:t>
      </w:r>
      <w:r>
        <w:t xml:space="preserve">exposure-conditional requirement rather than an always-on one, so a local-only deployment is not</w:t>
      </w:r>
      <w:r>
        <w:t xml:space="preserve"> </w:t>
      </w:r>
      <w:r>
        <w:t xml:space="preserve">described as non-compliant for a control it does not need.</w:t>
      </w:r>
    </w:p>
    <w:bookmarkStart w:id="43" w:name="X592ab2cc59a074e35b688ecba31d6bf75ef08fd"/>
    <w:p>
      <w:pPr>
        <w:pStyle w:val="Heading3"/>
      </w:pPr>
      <w:r>
        <w:t xml:space="preserve">What happens when the log cannot be written</w:t>
      </w:r>
    </w:p>
    <w:p>
      <w:pPr>
        <w:pStyle w:val="FirstParagraph"/>
      </w:pPr>
      <w:r>
        <w:t xml:space="preserve">State the behavior when the audit log is unwritable -- disk full, store unreachable, chain</w:t>
      </w:r>
      <w:r>
        <w:t xml:space="preserve"> </w:t>
      </w:r>
      <w:r>
        <w:t xml:space="preserve">verification failing -- as an explicit fail-open or fail-closed choice next to the code, and raise an</w:t>
      </w:r>
      <w:r>
        <w:t xml:space="preserve"> </w:t>
      </w:r>
      <w:r>
        <w:t xml:space="preserve">alert rather than degrading silently.</w:t>
      </w:r>
      <w:r>
        <w:t xml:space="preserve"> </w:t>
      </w:r>
      <w:r>
        <w:rPr>
          <w:b/>
          <w:bCs/>
        </w:rPr>
        <w:t xml:space="preserve">[prompted by: 800-53 AU-5]</w:t>
      </w:r>
      <w:r>
        <w:t xml:space="preserve"> </w:t>
      </w:r>
      <w:r>
        <w:t xml:space="preserve">The control supplies the alert</w:t>
      </w:r>
      <w:r>
        <w:t xml:space="preserve"> </w:t>
      </w:r>
      <w:r>
        <w:t xml:space="preserve">on a logging-process failure and a menu of responses to choose from. The rule that leads here is</w:t>
      </w:r>
      <w:r>
        <w:t xml:space="preserve"> </w:t>
      </w:r>
      <w:hyperlink w:anchor="X14e6323bcf6e9b0e8faa6bdd21b76d13cd211dd">
        <w:r>
          <w:rPr>
            <w:rStyle w:val="Hyperlink"/>
          </w:rPr>
          <w:t xml:space="preserve">section 7</w:t>
        </w:r>
      </w:hyperlink>
      <w:r>
        <w:t xml:space="preserve">'s -- state fail-open versus</w:t>
      </w:r>
      <w:r>
        <w:t xml:space="preserve"> </w:t>
      </w:r>
      <w:r>
        <w:t xml:space="preserve">fail-closed next to the code -- applied to the one component whose failure removes the evidence that</w:t>
      </w:r>
      <w:r>
        <w:t xml:space="preserve"> </w:t>
      </w:r>
      <w:r>
        <w:t xml:space="preserve">anything failed at all, which is why it is prompted by AU-5 rather than a restatement of it.</w:t>
      </w:r>
    </w:p>
    <w:p>
      <w:pPr>
        <w:pStyle w:val="BodyText"/>
      </w:pPr>
      <w:r>
        <w:t xml:space="preserve">The trap is specific to a chained log, and it is why this is not an operational detail sitting beneath</w:t>
      </w:r>
      <w:r>
        <w:t xml:space="preserve"> </w:t>
      </w:r>
      <w:r>
        <w:t xml:space="preserve">the feature. An implementation that drops or truncates entries under storage pressure breaks the</w:t>
      </w:r>
      <w:r>
        <w:t xml:space="preserve"> </w:t>
      </w:r>
      <w:r>
        <w:t xml:space="preserve">chain, and a broken chain is indistinguishable at review time from one broken by tampering. So the</w:t>
      </w:r>
      <w:r>
        <w:t xml:space="preserve"> </w:t>
      </w:r>
      <w:r>
        <w:t xml:space="preserve">fallback -- overwrite the oldest records, stop accepting work, or stop generating records -- is part</w:t>
      </w:r>
      <w:r>
        <w:t xml:space="preserve"> </w:t>
      </w:r>
      <w:r>
        <w:t xml:space="preserve">of the tamper-evidence claim, and it belongs in the same paragraph as the hash chain rather than in a</w:t>
      </w:r>
      <w:r>
        <w:t xml:space="preserve"> </w:t>
      </w:r>
      <w:r>
        <w:t xml:space="preserve">runbook. The cost is a design decision, one branch and one alert, and it is testable by making the</w:t>
      </w:r>
      <w:r>
        <w:t xml:space="preserve"> </w:t>
      </w:r>
      <w:r>
        <w:t xml:space="preserve">sink fail.</w:t>
      </w:r>
    </w:p>
    <w:bookmarkEnd w:id="43"/>
    <w:bookmarkStart w:id="44" w:name="X4cc549780cd7e61d6d0628e1c196c335036c46e"/>
    <w:p>
      <w:pPr>
        <w:pStyle w:val="Heading3"/>
      </w:pPr>
      <w:r>
        <w:t xml:space="preserve">Ship the review affordance; the cadence is not yours</w:t>
      </w:r>
    </w:p>
    <w:p>
      <w:pPr>
        <w:pStyle w:val="FirstParagraph"/>
      </w:pPr>
      <w:r>
        <w:t xml:space="preserve">A log nobody can read is write-only by construction. The reading obligation is the kind of control</w:t>
      </w:r>
      <w:r>
        <w:t xml:space="preserve"> </w:t>
      </w:r>
      <w:hyperlink w:anchor="Xf8794b0126bc78285fb10778097a0695650e57d">
        <w:r>
          <w:rPr>
            <w:rStyle w:val="Hyperlink"/>
          </w:rPr>
          <w:t xml:space="preserve">section 1</w:t>
        </w:r>
      </w:hyperlink>
      <w:r>
        <w:t xml:space="preserve"> </w:t>
      </w:r>
      <w:r>
        <w:t xml:space="preserve">exists to stop going unowned: it is</w:t>
      </w:r>
      <w:r>
        <w:t xml:space="preserve"> </w:t>
      </w:r>
      <w:r>
        <w:t xml:space="preserve">easy for a producer to assume the operator reviews the log and for the operator to assume the log is</w:t>
      </w:r>
      <w:r>
        <w:t xml:space="preserve"> </w:t>
      </w:r>
      <w:r>
        <w:t xml:space="preserve">reviewed by whoever built it.</w:t>
      </w:r>
    </w:p>
    <w:p>
      <w:pPr>
        <w:pStyle w:val="BodyText"/>
      </w:pPr>
      <w:r>
        <w:t xml:space="preserve">Ship the affordance and a labelled retention default.</w:t>
      </w:r>
      <w:r>
        <w:t xml:space="preserve"> </w:t>
      </w:r>
      <w:r>
        <w:rPr>
          <w:b/>
          <w:bCs/>
        </w:rPr>
        <w:t xml:space="preserve">[prompted by: 800-53 AU-6a, AU-11]</w:t>
      </w:r>
      <w:r>
        <w:t xml:space="preserve"> </w:t>
      </w:r>
      <w:r>
        <w:t xml:space="preserve">Query</w:t>
      </w:r>
      <w:r>
        <w:t xml:space="preserve"> </w:t>
      </w:r>
      <w:r>
        <w:t xml:space="preserve">and filter by actor and by time, export in a form another tool reads, and one documented command that</w:t>
      </w:r>
      <w:r>
        <w:t xml:space="preserve"> </w:t>
      </w:r>
      <w:r>
        <w:t xml:space="preserve">verifies the chain and prints which entry first fails. Ship a default retention period and label it</w:t>
      </w:r>
      <w:r>
        <w:t xml:space="preserve"> </w:t>
      </w:r>
      <w:r>
        <w:t xml:space="preserve">project-set, because an unbounded default is the reason the log later gets truncated by whoever runs</w:t>
      </w:r>
      <w:r>
        <w:t xml:space="preserve"> </w:t>
      </w:r>
      <w:r>
        <w:t xml:space="preserve">out of disk. The catalog states the review and the retention period as obligations of whoever operates</w:t>
      </w:r>
      <w:r>
        <w:t xml:space="preserve"> </w:t>
      </w:r>
      <w:r>
        <w:t xml:space="preserve">the system. The split below is this document's, and the affordance is the producer half it implies.</w:t>
      </w:r>
    </w:p>
    <w:p>
      <w:pPr>
        <w:pStyle w:val="BodyText"/>
      </w:pPr>
      <w:r>
        <w:t xml:space="preserve">The review cadence itself, and the definition of what counts as unusual activity in that environment,</w:t>
      </w:r>
      <w:r>
        <w:t xml:space="preserve"> </w:t>
      </w:r>
      <w:r>
        <w:t xml:space="preserve">belong to the operating organization -- which is why they now have a row in</w:t>
      </w:r>
      <w:r>
        <w:t xml:space="preserve"> </w:t>
      </w:r>
      <w:hyperlink w:anchor="Xf8794b0126bc78285fb10778097a0695650e57d">
        <w:r>
          <w:rPr>
            <w:rStyle w:val="Hyperlink"/>
          </w:rPr>
          <w:t xml:space="preserve">section 1</w:t>
        </w:r>
      </w:hyperlink>
      <w:r>
        <w:t xml:space="preserve">'s table rather than a sentence here.</w:t>
      </w:r>
      <w:r>
        <w:t xml:space="preserve"> </w:t>
      </w:r>
      <w:r>
        <w:t xml:space="preserve">Not claiming the cadence is the correct outcome under the ownership rule rather than a dodge, and</w:t>
      </w:r>
      <w:r>
        <w:t xml:space="preserve"> </w:t>
      </w:r>
      <w:r>
        <w:t xml:space="preserve">writing it into the table is what makes that visible. Both are a feature and a constant; neither adds</w:t>
      </w:r>
      <w:r>
        <w:t xml:space="preserve"> </w:t>
      </w:r>
      <w:r>
        <w:t xml:space="preserve">a blocking gate.</w:t>
      </w:r>
    </w:p>
    <w:p>
      <w:r>
        <w:pict>
          <v:rect style="width:0;height:1.5pt" o:hralign="center" o:hrstd="t" o:hr="t"/>
        </w:pict>
      </w:r>
    </w:p>
    <w:bookmarkEnd w:id="44"/>
    <w:bookmarkEnd w:id="45"/>
    <w:bookmarkStart w:id="50"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 is</w:t>
      </w:r>
      <w:r>
        <w:t xml:space="preserve"> </w:t>
      </w:r>
      <w:r>
        <w:t xml:space="preserve">what makes it worth more than the rest of your security page.</w:t>
      </w:r>
    </w:p>
    <w:bookmarkStart w:id="46" w:name="X0962a595a15c980cbc426c4ee953da82dbc2640"/>
    <w:p>
      <w:pPr>
        <w:pStyle w:val="Heading3"/>
      </w:pPr>
      <w:r>
        <w:t xml:space="preserve">Where the build runs, and who can change it</w:t>
      </w:r>
    </w:p>
    <w:p>
      <w:pPr>
        <w:pStyle w:val="FirstParagraph"/>
      </w:pPr>
      <w:r>
        <w:t xml:space="preserve">Everything in the next subsection secures the credential and the artifact. None of it says anything</w:t>
      </w:r>
      <w:r>
        <w:t xml:space="preserve"> </w:t>
      </w:r>
      <w:r>
        <w:t xml:space="preserve">about the machinery that produced them, or about the list of people and machines that can alter that</w:t>
      </w:r>
      <w:r>
        <w:t xml:space="preserve"> </w:t>
      </w:r>
      <w:r>
        <w:t xml:space="preserve">machinery. Say who may change the build and who may publish, as an enumeration rather than a policy</w:t>
      </w:r>
      <w:r>
        <w:t xml:space="preserve"> </w:t>
      </w:r>
      <w:r>
        <w:t xml:space="preserve">sentence.</w:t>
      </w:r>
    </w:p>
    <w:p>
      <w:pPr>
        <w:pStyle w:val="BodyText"/>
      </w:pPr>
      <w:r>
        <w:rPr>
          <w:b/>
          <w:bCs/>
        </w:rPr>
        <w:t xml:space="preserve">The release build runs on an ephemeral runner with no interactive login path, and never on a</w:t>
      </w:r>
      <w:r>
        <w:rPr>
          <w:b/>
          <w:bCs/>
        </w:rPr>
        <w:t xml:space="preserve"> </w:t>
      </w:r>
      <w:r>
        <w:rPr>
          <w:b/>
          <w:bCs/>
        </w:rPr>
        <w:t xml:space="preserve">developer workstation; an artifact built on one is not publishable.</w:t>
      </w:r>
      <w:r>
        <w:t xml:space="preserve"> </w:t>
      </w:r>
      <w:r>
        <w:rPr>
          <w:b/>
          <w:bCs/>
        </w:rPr>
        <w:t xml:space="preserve">[prompted by: 800-53 SA-3(1)]</w:t>
      </w:r>
      <w:r>
        <w:t xml:space="preserve"> </w:t>
      </w:r>
      <w:r>
        <w:t xml:space="preserve">The control asks that a preproduction environment be protected</w:t>
      </w:r>
      <w:r>
        <w:t xml:space="preserve"> </w:t>
      </w:r>
      <w:r>
        <w:t xml:space="preserve">commensurate with risk. Naming the runner, closing the interactive login path, and making an artifact</w:t>
      </w:r>
      <w:r>
        <w:t xml:space="preserve"> </w:t>
      </w:r>
      <w:r>
        <w:t xml:space="preserve">built on a workstation unpublishable are narrower and stronger than that, and they are this</w:t>
      </w:r>
      <w:r>
        <w:t xml:space="preserve"> </w:t>
      </w:r>
      <w:r>
        <w:t xml:space="preserve">document's. For most small teams this is already true and merely unstated, because a hosted runner</w:t>
      </w:r>
      <w:r>
        <w:t xml:space="preserve"> </w:t>
      </w:r>
      <w:r>
        <w:t xml:space="preserve">is ephemeral and has no interactive login by construction. Writing it down is the point: an unstated</w:t>
      </w:r>
      <w:r>
        <w:t xml:space="preserve"> </w:t>
      </w:r>
      <w:r>
        <w:t xml:space="preserve">property cannot be checked when it later stops being true. What it buys is the removal of the class</w:t>
      </w:r>
      <w:r>
        <w:t xml:space="preserve"> </w:t>
      </w:r>
      <w:r>
        <w:t xml:space="preserve">where a compromised or merely untidy workstation contributes bytes to a release. It is what makes the</w:t>
      </w:r>
      <w:r>
        <w:t xml:space="preserve"> </w:t>
      </w:r>
      <w:r>
        <w:t xml:space="preserve">provenance attestation below mean anything, since provenance tracing to somebody's machine is</w:t>
      </w:r>
      <w:r>
        <w:t xml:space="preserve"> </w:t>
      </w:r>
      <w:r>
        <w:t xml:space="preserve">provenance about nothing. What it does not buy is any defense against a malicious change that was</w:t>
      </w:r>
      <w:r>
        <w:t xml:space="preserve"> </w:t>
      </w:r>
      <w:r>
        <w:t xml:space="preserve">reviewed and merged.</w:t>
      </w:r>
    </w:p>
    <w:p>
      <w:pPr>
        <w:pStyle w:val="BodyText"/>
      </w:pPr>
      <w:r>
        <w:t xml:space="preserve">The workflow definition and every file the workflow sources fall under the same protected-path rules</w:t>
      </w:r>
      <w:r>
        <w:t xml:space="preserve"> </w:t>
      </w:r>
      <w:r>
        <w:t xml:space="preserve">as release code. A pipeline change must not be able to merge on a weaker gate than the code it</w:t>
      </w:r>
      <w:r>
        <w:t xml:space="preserve"> </w:t>
      </w:r>
      <w:r>
        <w:t xml:space="preserve">builds, because the build configuration is the part of the repository that can alter every artifact</w:t>
      </w:r>
      <w:r>
        <w:t xml:space="preserve"> </w:t>
      </w:r>
      <w:r>
        <w:t xml:space="preserve">without altering a line of source.</w:t>
      </w:r>
    </w:p>
    <w:p>
      <w:pPr>
        <w:pStyle w:val="BodyText"/>
      </w:pPr>
      <w:r>
        <w:t xml:space="preserve">The publishing capability is held by the workflow identity, and the human publishing path is closed</w:t>
      </w:r>
      <w:r>
        <w:t xml:space="preserve"> </w:t>
      </w:r>
      <w:r>
        <w:t xml:space="preserve">rather than merely unused.</w:t>
      </w:r>
      <w:r>
        <w:t xml:space="preserve"> </w:t>
      </w:r>
      <w:r>
        <w:rPr>
          <w:b/>
          <w:bCs/>
        </w:rPr>
        <w:t xml:space="preserve">[prompted by: 800-53 AC-6, CM-5]</w:t>
      </w:r>
      <w:r>
        <w:t xml:space="preserve"> </w:t>
      </w:r>
      <w:r>
        <w:t xml:space="preserve">Closed is a stronger claim than</w:t>
      </w:r>
      <w:r>
        <w:t xml:space="preserve"> </w:t>
      </w:r>
      <w:r>
        <w:t xml:space="preserve">least privilege makes. It is the one worth writing down, because a path that exists and is not used</w:t>
      </w:r>
      <w:r>
        <w:t xml:space="preserve"> </w:t>
      </w:r>
      <w:r>
        <w:t xml:space="preserve">is a path nobody is watching. Two conditions travel with it. Required reviewers on the publishing</w:t>
      </w:r>
      <w:r>
        <w:t xml:space="preserve"> </w:t>
      </w:r>
      <w:r>
        <w:t xml:space="preserve">environment make the release a second decision rather than a consequence of the merge. And the token</w:t>
      </w:r>
      <w:r>
        <w:t xml:space="preserve"> </w:t>
      </w:r>
      <w:r>
        <w:t xml:space="preserve">scope is declared per job rather than inherited, so a job that has no reason to publish cannot.</w:t>
      </w:r>
    </w:p>
    <w:p>
      <w:pPr>
        <w:pStyle w:val="BodyText"/>
      </w:pPr>
      <w:r>
        <w:t xml:space="preserve">Enumerate every principal that can write to the trunk, administer the repository, or publish, and</w:t>
      </w:r>
      <w:r>
        <w:t xml:space="preserve"> </w:t>
      </w:r>
      <w:r>
        <w:t xml:space="preserve">review that enumeration on a stated cadence.</w:t>
      </w:r>
      <w:r>
        <w:t xml:space="preserve"> </w:t>
      </w:r>
      <w:r>
        <w:rPr>
          <w:b/>
          <w:bCs/>
        </w:rPr>
        <w:t xml:space="preserve">[derived: 800-53 CM-5(5)]</w:t>
      </w:r>
      <w:r>
        <w:t xml:space="preserve"> </w:t>
      </w:r>
      <w:r>
        <w:t xml:space="preserve">Human accounts, machine</w:t>
      </w:r>
      <w:r>
        <w:t xml:space="preserve"> </w:t>
      </w:r>
      <w:r>
        <w:t xml:space="preserve">accounts, deploy keys, installed applications and their scopes, and registry trusted-publisher</w:t>
      </w:r>
      <w:r>
        <w:t xml:space="preserve"> </w:t>
      </w:r>
      <w:r>
        <w:t xml:space="preserve">entries. Make it an enumeration for the same reason</w:t>
      </w:r>
      <w:r>
        <w:t xml:space="preserve"> </w:t>
      </w:r>
      <w:hyperlink w:anchor="Xac02c7d32d5bb277c9e44f3436addfe1b1747df">
        <w:r>
          <w:rPr>
            <w:rStyle w:val="Hyperlink"/>
          </w:rPr>
          <w:t xml:space="preserve">section 2</w:t>
        </w:r>
      </w:hyperlink>
      <w:r>
        <w:t xml:space="preserve"> </w:t>
      </w:r>
      <w:r>
        <w:t xml:space="preserve">makes the boundary list an</w:t>
      </w:r>
      <w:r>
        <w:t xml:space="preserve"> </w:t>
      </w:r>
      <w:r>
        <w:t xml:space="preserve">enumeration: an entry nobody owns then shows up as a row nobody can explain, rather than as something</w:t>
      </w:r>
      <w:r>
        <w:t xml:space="preserve"> </w:t>
      </w:r>
      <w:r>
        <w:t xml:space="preserve">nobody thought to look for. The row worth staring at is the rarely-used automation token with publish</w:t>
      </w:r>
      <w:r>
        <w:t xml:space="preserve"> </w:t>
      </w:r>
      <w:r>
        <w:t xml:space="preserve">scope, which is a larger exposure than the maintainer's own account precisely because it has no</w:t>
      </w:r>
      <w:r>
        <w:t xml:space="preserve"> </w:t>
      </w:r>
      <w:r>
        <w:t xml:space="preserve">session, no notification and nobody watching it. Delete what is no longer needed at each pass and</w:t>
      </w:r>
      <w:r>
        <w:t xml:space="preserve"> </w:t>
      </w:r>
      <w:r>
        <w:t xml:space="preserve">date the pass. A dated export of the collaborator, deploy-key, installed-application and</w:t>
      </w:r>
      <w:r>
        <w:t xml:space="preserve"> </w:t>
      </w:r>
      <w:r>
        <w:t xml:space="preserve">environment-protection settings is the whole of the evidence. The honest caveat for a solo</w:t>
      </w:r>
      <w:r>
        <w:t xml:space="preserve"> </w:t>
      </w:r>
      <w:r>
        <w:t xml:space="preserve">maintainer: this enumeration will show one human holding everything, which is a finding for</w:t>
      </w:r>
      <w:r>
        <w:t xml:space="preserve"> </w:t>
      </w:r>
      <w:hyperlink w:anchor="X2e76d4b347a06a9540373165195f11ae36f497b">
        <w:r>
          <w:rPr>
            <w:rStyle w:val="Hyperlink"/>
          </w:rPr>
          <w:t xml:space="preserve">section 13</w:t>
        </w:r>
      </w:hyperlink>
      <w:r>
        <w:t xml:space="preserve"> </w:t>
      </w:r>
      <w:r>
        <w:t xml:space="preserve">rather than a control to claim.</w:t>
      </w:r>
    </w:p>
    <w:p>
      <w:pPr>
        <w:pStyle w:val="BodyText"/>
      </w:pPr>
      <w:r>
        <w:t xml:space="preserve">Pin every action, image, plugin and tool the pipeline invokes to an immutable digest rather than a</w:t>
      </w:r>
      <w:r>
        <w:t xml:space="preserve"> </w:t>
      </w:r>
      <w:r>
        <w:t xml:space="preserve">moving tag, and review the pinned set on a stated cadence.</w:t>
      </w:r>
      <w:r>
        <w:t xml:space="preserve"> </w:t>
      </w:r>
      <w:r>
        <w:rPr>
          <w:b/>
          <w:bCs/>
        </w:rPr>
        <w:t xml:space="preserve">[prompted by: 800-53 SA-15a]</w:t>
      </w:r>
      <w:r>
        <w:t xml:space="preserve"> </w:t>
      </w:r>
      <w:r>
        <w:t xml:space="preserve">The</w:t>
      </w:r>
      <w:r>
        <w:t xml:space="preserve"> </w:t>
      </w:r>
      <w:r>
        <w:t xml:space="preserve">control asks that the development tools be identified, their options documented, and the integrity of</w:t>
      </w:r>
      <w:r>
        <w:t xml:space="preserve"> </w:t>
      </w:r>
      <w:r>
        <w:t xml:space="preserve">changes to them ensured. The immutable digest is one mechanism choice among several, and the review</w:t>
      </w:r>
      <w:r>
        <w:t xml:space="preserve"> </w:t>
      </w:r>
      <w:r>
        <w:t xml:space="preserve">cadence is in no part of it. The pinned set is the allowlist. The publishing controls below already</w:t>
      </w:r>
      <w:r>
        <w:t xml:space="preserve"> </w:t>
      </w:r>
      <w:r>
        <w:t xml:space="preserve">pin the one publishing action. The general rule over the whole execution surface is what was missing.</w:t>
      </w:r>
      <w:r>
        <w:t xml:space="preserve"> </w:t>
      </w:r>
      <w:r>
        <w:t xml:space="preserve">The cadence is the other half of it, because a pin that is never revisited silently becomes an</w:t>
      </w:r>
      <w:r>
        <w:t xml:space="preserve"> </w:t>
      </w:r>
      <w:r>
        <w:t xml:space="preserve">unpatched dependency. That is exactly why a pinned digest and a blocking dependency-advisory gate are</w:t>
      </w:r>
      <w:r>
        <w:t xml:space="preserve"> </w:t>
      </w:r>
      <w:r>
        <w:t xml:space="preserve">complementary rather than redundant. State the limit in the same paragraph: pinning establishes that</w:t>
      </w:r>
      <w:r>
        <w:t xml:space="preserve"> </w:t>
      </w:r>
      <w:r>
        <w:t xml:space="preserve">you got the same bytes as last time, never that those bytes are trustworthy.</w:t>
      </w:r>
    </w:p>
    <w:p>
      <w:pPr>
        <w:pStyle w:val="BodyText"/>
      </w:pPr>
      <w:r>
        <w:t xml:space="preserve">These are properties of the release path plus one recurring enumeration; they add no row to the</w:t>
      </w:r>
      <w:r>
        <w:t xml:space="preserve"> </w:t>
      </w:r>
      <w:r>
        <w:t xml:space="preserve">release gate in</w:t>
      </w:r>
      <w:r>
        <w:t xml:space="preserve"> </w:t>
      </w:r>
      <w:hyperlink w:anchor="X166d910d570b75bb8e35866cbb9a8eb190f1767">
        <w:r>
          <w:rPr>
            <w:rStyle w:val="Hyperlink"/>
          </w:rPr>
          <w:t xml:space="preserve">section 16</w:t>
        </w:r>
      </w:hyperlink>
      <w:r>
        <w:t xml:space="preserve"> </w:t>
      </w:r>
      <w:r>
        <w:t xml:space="preserve">and weaken nothing above them. Where one of them</w:t>
      </w:r>
      <w:r>
        <w:t xml:space="preserve"> </w:t>
      </w:r>
      <w:r>
        <w:t xml:space="preserve">is not true today, closing that gap is the work rather than the waiver.</w:t>
      </w:r>
    </w:p>
    <w:bookmarkEnd w:id="46"/>
    <w:bookmarkStart w:id="47" w:name="Xca148109ff5f44572641d020555735042fe03e4"/>
    <w:p>
      <w:pPr>
        <w:pStyle w:val="Heading3"/>
      </w:pPr>
      <w:r>
        <w:t xml:space="preserve">Publishing controls, and the limit each one carries</w:t>
      </w:r>
    </w:p>
    <w:p>
      <w:pPr>
        <w:pStyle w:val="FirstParagraph"/>
      </w:pPr>
      <w:r>
        <w:t xml:space="preserve">Publishing credentials. Replace long-lived registry tokens with credentials minted per run from the</w:t>
      </w:r>
      <w:r>
        <w:t xml:space="preserve"> </w:t>
      </w:r>
      <w:r>
        <w:t xml:space="preserve">pipeline's own workflow identity, scoped to a specific repository, workflow and environment, and</w:t>
      </w:r>
      <w:r>
        <w:t xml:space="preserve"> </w:t>
      </w:r>
      <w:r>
        <w:t xml:space="preserve">valid only for the length of an upload. This removes the leaked-token attack class outright.</w:t>
      </w:r>
    </w:p>
    <w:p>
      <w:pPr>
        <w:pStyle w:val="BodyText"/>
      </w:pPr>
      <w:r>
        <w:t xml:space="preserve">Two conditions travel with it. Restrict the publishing workflow to trusted triggers such as a tag or</w:t>
      </w:r>
      <w:r>
        <w:t xml:space="preserve"> </w:t>
      </w:r>
      <w:r>
        <w:t xml:space="preserve">a push, never to a trigger that grants write credentials to code from an untrusted contributor. And</w:t>
      </w:r>
      <w:r>
        <w:t xml:space="preserve"> </w:t>
      </w:r>
      <w:r>
        <w:t xml:space="preserve">pin the publishing action.</w:t>
      </w:r>
    </w:p>
    <w:p>
      <w:pPr>
        <w:pStyle w:val="BodyText"/>
      </w:pPr>
      <w:r>
        <w:t xml:space="preserve">Per-run credentials do not defend against takeover of the publishing account -- that is what</w:t>
      </w:r>
      <w:r>
        <w:t xml:space="preserve"> </w:t>
      </w:r>
      <w:r>
        <w:t xml:space="preserve">account-level multi-factor and environment protection rules are for.</w:t>
      </w:r>
    </w:p>
    <w:p>
      <w:pPr>
        <w:pStyle w:val="BodyText"/>
      </w:pPr>
      <w:r>
        <w:rPr>
          <w:b/>
          <w:bCs/>
        </w:rPr>
        <w:t xml:space="preserve">Publishing identity does not cover the artifact.</w:t>
      </w:r>
      <w:r>
        <w:t xml:space="preserve"> </w:t>
      </w:r>
      <w:r>
        <w:t xml:space="preserve">Establishing that the upload came from your</w:t>
      </w:r>
      <w:r>
        <w:t xml:space="preserve"> </w:t>
      </w:r>
      <w:r>
        <w:t xml:space="preserve">pipeline says nothing about whether the artifact was modified before or after it was built.</w:t>
      </w:r>
    </w:p>
    <w:p>
      <w:pPr>
        <w:pStyle w:val="BodyText"/>
      </w:pPr>
      <w:r>
        <w:t xml:space="preserve">Pair it with a signed attestation binding the distributed filename and its digest to the source</w:t>
      </w:r>
      <w:r>
        <w:t xml:space="preserve"> </w:t>
      </w:r>
      <w:r>
        <w:t xml:space="preserve">repository, workflow and commit that produced it. Record that attestation in a public transparency</w:t>
      </w:r>
      <w:r>
        <w:t xml:space="preserve"> </w:t>
      </w:r>
      <w:r>
        <w:t xml:space="preserve">log and serve it alongside the artifact, so a consumer can check it without contacting you. Neither</w:t>
      </w:r>
      <w:r>
        <w:t xml:space="preserve"> </w:t>
      </w:r>
      <w:r>
        <w:t xml:space="preserve">half is sufficient alone.</w:t>
      </w:r>
    </w:p>
    <w:p>
      <w:pPr>
        <w:pStyle w:val="BodyText"/>
      </w:pPr>
      <w:r>
        <w:rPr>
          <w:b/>
          <w:bCs/>
        </w:rPr>
        <w:t xml:space="preserve">Keyless signing moves the threat model, it does not remove it.</w:t>
      </w:r>
      <w:r>
        <w:t xml:space="preserve"> </w:t>
      </w:r>
      <w:r>
        <w:t xml:space="preserve">Identity-based signing with</w:t>
      </w:r>
      <w:r>
        <w:t xml:space="preserve"> </w:t>
      </w:r>
      <w:r>
        <w:t xml:space="preserve">short-lived certificates and a transparency log removes long-lived key management, which is a real</w:t>
      </w:r>
      <w:r>
        <w:t xml:space="preserve"> </w:t>
      </w:r>
      <w:r>
        <w:t xml:space="preserve">win. It relocates what you defend: multi-factor on the publishing account, branch protection, and</w:t>
      </w:r>
      <w:r>
        <w:t xml:space="preserve"> </w:t>
      </w:r>
      <w:r>
        <w:t xml:space="preserve">pipeline hardening become the load-bearing controls instead of a key safe.</w:t>
      </w:r>
    </w:p>
    <w:p>
      <w:pPr>
        <w:pStyle w:val="BodyText"/>
      </w:pPr>
      <w:r>
        <w:t xml:space="preserve">Where consumers verify on air-gapped or otherwise disconnected networks, bundle the transparency-log</w:t>
      </w:r>
      <w:r>
        <w:t xml:space="preserve"> </w:t>
      </w:r>
      <w:r>
        <w:t xml:space="preserve">inclusion proof with the artifact so verification does not require network access.</w:t>
      </w:r>
    </w:p>
    <w:p>
      <w:pPr>
        <w:pStyle w:val="BodyText"/>
      </w:pPr>
      <w:r>
        <w:t xml:space="preserve">Measure whether a signing scheme is verifiable before crediting it. Coverage and verifiability</w:t>
      </w:r>
      <w:r>
        <w:t xml:space="preserve"> </w:t>
      </w:r>
      <w:r>
        <w:t xml:space="preserve">are separate questions, and both can be near zero while the scheme is nominally in place.</w:t>
      </w:r>
    </w:p>
    <w:p>
      <w:pPr>
        <w:pStyle w:val="BodyText"/>
      </w:pPr>
      <w:r>
        <w:rPr>
          <w:b/>
          <w:bCs/>
        </w:rPr>
        <w:t xml:space="preserve">[external]</w:t>
      </w:r>
      <w:r>
        <w:t xml:space="preserve"> </w:t>
      </w:r>
      <w:r>
        <w:t xml:space="preserve">When one large package registry measured its long-standing detached-signature support,</w:t>
      </w:r>
      <w:r>
        <w:t xml:space="preserve"> </w:t>
      </w:r>
      <w:r>
        <w:t xml:space="preserve">only about a third of signing keys could be meaningfully verified, and signed files were a fraction</w:t>
      </w:r>
      <w:r>
        <w:t xml:space="preserve"> </w:t>
      </w:r>
      <w:r>
        <w:t xml:space="preserve">of a percent of everything published. Support was withdrawn, and existing signatures are now silently</w:t>
      </w:r>
      <w:r>
        <w:t xml:space="preserve"> </w:t>
      </w:r>
      <w:r>
        <w:t xml:space="preserve">ignored.</w:t>
      </w:r>
    </w:p>
    <w:p>
      <w:pPr>
        <w:pStyle w:val="BodyText"/>
      </w:pPr>
      <w:r>
        <w:t xml:space="preserve">Before crediting a signing control, measure what proportion of artifacts carry a signature and what</w:t>
      </w:r>
      <w:r>
        <w:t xml:space="preserve"> </w:t>
      </w:r>
      <w:r>
        <w:t xml:space="preserve">proportion of those a consumer can resolve to an identity.</w:t>
      </w:r>
    </w:p>
    <w:bookmarkEnd w:id="47"/>
    <w:bookmarkStart w:id="48" w:name="Xe1acf8bcb72e6c414f95b924737381b6debc42f"/>
    <w:p>
      <w:pPr>
        <w:pStyle w:val="Heading3"/>
      </w:pPr>
      <w:r>
        <w:t xml:space="preserve">What an adopter can verify without contacting you</w:t>
      </w:r>
    </w:p>
    <w:p>
      <w:pPr>
        <w:pStyle w:val="FirstParagraph"/>
      </w:pPr>
      <w:r>
        <w:t xml:space="preserve">Build provenance. Provenance generated by the pipeline proves the artifact traces to a specific</w:t>
      </w:r>
      <w:r>
        <w:t xml:space="preserve"> </w:t>
      </w:r>
      <w:r>
        <w:t xml:space="preserve">repository, workflow and commit rather than to somebody's machine. Isolating the build behind a</w:t>
      </w:r>
      <w:r>
        <w:t xml:space="preserve"> </w:t>
      </w:r>
      <w:r>
        <w:t xml:space="preserve">dedicated reusable workflow raises the assurance level further.</w:t>
      </w:r>
    </w:p>
    <w:p>
      <w:pPr>
        <w:pStyle w:val="BodyText"/>
      </w:pPr>
      <w:r>
        <w:t xml:space="preserve">A published digest manifest is the lowest-tech verification path. Make it the documented baseline</w:t>
      </w:r>
      <w:r>
        <w:t xml:space="preserve"> </w:t>
      </w:r>
      <w:r>
        <w:t xml:space="preserve">rather than the afterthought. Publish a signed digest manifest with every release and document the</w:t>
      </w:r>
      <w:r>
        <w:t xml:space="preserve"> </w:t>
      </w:r>
      <w:r>
        <w:t xml:space="preserve">exact verification commands, including the offline path. That is the one route a reviewer on an</w:t>
      </w:r>
      <w:r>
        <w:t xml:space="preserve"> </w:t>
      </w:r>
      <w:r>
        <w:t xml:space="preserve">air-gapped network can always run.</w:t>
      </w:r>
    </w:p>
    <w:p>
      <w:pPr>
        <w:pStyle w:val="BodyText"/>
      </w:pPr>
      <w:r>
        <w:rPr>
          <w:b/>
          <w:bCs/>
        </w:rPr>
        <w:t xml:space="preserve">A component inventory is not tamper detection.</w:t>
      </w:r>
      <w:r>
        <w:t xml:space="preserve"> </w:t>
      </w:r>
      <w:r>
        <w:t xml:space="preserve">Generate one per release, in the formats your</w:t>
      </w:r>
      <w:r>
        <w:t xml:space="preserve"> </w:t>
      </w:r>
      <w:r>
        <w:t xml:space="preserve">consumers ingest, and attach it to the release and to the archived build.</w:t>
      </w:r>
    </w:p>
    <w:p>
      <w:pPr>
        <w:pStyle w:val="BodyText"/>
      </w:pPr>
      <w:r>
        <w:t xml:space="preserve">Be precise about what it buys: answering "do we ship component X" within minutes of a</w:t>
      </w:r>
      <w:r>
        <w:t xml:space="preserve"> </w:t>
      </w:r>
      <w:r>
        <w:t xml:space="preserve">widely-publicised advisory, drift detection by diffing a produced inventory against the intended</w:t>
      </w:r>
      <w:r>
        <w:t xml:space="preserve"> </w:t>
      </w:r>
      <w:r>
        <w:t xml:space="preserve">manifest, and satisfying procurement reviews. It is not integrity evidence for your own code and must</w:t>
      </w:r>
      <w:r>
        <w:t xml:space="preserve"> </w:t>
      </w:r>
      <w:r>
        <w:t xml:space="preserve">not be quoted as such.</w:t>
      </w:r>
    </w:p>
    <w:p>
      <w:pPr>
        <w:pStyle w:val="BodyText"/>
      </w:pPr>
      <w:r>
        <w:t xml:space="preserve">Archive each release with its build inputs and its inventory. Two things depend on it: incident</w:t>
      </w:r>
      <w:r>
        <w:t xml:space="preserve"> </w:t>
      </w:r>
      <w:r>
        <w:t xml:space="preserve">analysis -- what exactly was in the version somebody is running -- and reproducibility. An archive</w:t>
      </w:r>
      <w:r>
        <w:t xml:space="preserve"> </w:t>
      </w:r>
      <w:r>
        <w:t xml:space="preserve">holding only the artifact answers neither.</w:t>
      </w:r>
    </w:p>
    <w:p>
      <w:pPr>
        <w:pStyle w:val="BodyText"/>
      </w:pPr>
      <w:r>
        <w:t xml:space="preserve">Back up that archive off the platform that hosts it, and restore from it at least once, dated.</w:t>
      </w:r>
      <w:r>
        <w:t xml:space="preserve"> </w:t>
      </w:r>
      <w:r>
        <w:rPr>
          <w:b/>
          <w:bCs/>
        </w:rPr>
        <w:t xml:space="preserve">[derived: 800-53 CP-9c]</w:t>
      </w:r>
      <w:r>
        <w:t xml:space="preserve"> </w:t>
      </w:r>
      <w:r>
        <w:t xml:space="preserve">The archive, the build inputs, the component inventories, the</w:t>
      </w:r>
      <w:r>
        <w:t xml:space="preserve"> </w:t>
      </w:r>
      <w:r>
        <w:t xml:space="preserve">attestations, the signing and publishing identity configuration, and the deviations register are all</w:t>
      </w:r>
      <w:r>
        <w:t xml:space="preserve"> </w:t>
      </w:r>
      <w:r>
        <w:t xml:space="preserve">evidence this document tells you to create and nowhere tells you to protect. They typically live in</w:t>
      </w:r>
      <w:r>
        <w:t xml:space="preserve"> </w:t>
      </w:r>
      <w:r>
        <w:t xml:space="preserve">one account at one provider, so an account suspension or a repository deletion takes the provenance,</w:t>
      </w:r>
      <w:r>
        <w:t xml:space="preserve"> </w:t>
      </w:r>
      <w:r>
        <w:t xml:space="preserve">the attestations, the archive and the register in a single event -- at which point every claim in</w:t>
      </w:r>
      <w:r>
        <w:t xml:space="preserve"> </w:t>
      </w:r>
      <w:hyperlink w:anchor="Xd93b41aba76cd6464a6e694c5ed1cd30484ae10">
        <w:r>
          <w:rPr>
            <w:rStyle w:val="Hyperlink"/>
          </w:rPr>
          <w:t xml:space="preserve">section 17</w:t>
        </w:r>
      </w:hyperlink>
      <w:r>
        <w:t xml:space="preserve"> </w:t>
      </w:r>
      <w:r>
        <w:t xml:space="preserve">becomes unevidenced simultaneously. The restore is the part that</w:t>
      </w:r>
      <w:r>
        <w:t xml:space="preserve"> </w:t>
      </w:r>
      <w:r>
        <w:t xml:space="preserve">matters: once, dated, restore one archived release and confirm the restored artifact still matches</w:t>
      </w:r>
      <w:r>
        <w:t xml:space="preserve"> </w:t>
      </w:r>
      <w:r>
        <w:t xml:space="preserve">the digest you published for it. A copy nobody has restored from is a claim rather than a backup,</w:t>
      </w:r>
      <w:r>
        <w:t xml:space="preserve"> </w:t>
      </w:r>
      <w:r>
        <w:t xml:space="preserve">which is the same defect pattern this document already names for a clean scanner run and for an</w:t>
      </w:r>
      <w:r>
        <w:t xml:space="preserve"> </w:t>
      </w:r>
      <w:r>
        <w:t xml:space="preserve">in-process integrity check.</w:t>
      </w:r>
    </w:p>
    <w:p>
      <w:pPr>
        <w:pStyle w:val="BodyText"/>
      </w:pPr>
      <w:r>
        <w:t xml:space="preserve">Keep the boundary explicit in the same paragraph. This is the producer backing up the producer's own</w:t>
      </w:r>
      <w:r>
        <w:t xml:space="preserve"> </w:t>
      </w:r>
      <w:r>
        <w:t xml:space="preserve">evidence. Backups, disaster recovery and availability for a deployment stay in the right-hand column</w:t>
      </w:r>
      <w:r>
        <w:t xml:space="preserve"> </w:t>
      </w:r>
      <w:r>
        <w:t xml:space="preserve">of</w:t>
      </w:r>
      <w:r>
        <w:t xml:space="preserve"> </w:t>
      </w:r>
      <w:hyperlink w:anchor="Xf8794b0126bc78285fb10778097a0695650e57d">
        <w:r>
          <w:rPr>
            <w:rStyle w:val="Hyperlink"/>
          </w:rPr>
          <w:t xml:space="preserve">section 1</w:t>
        </w:r>
      </w:hyperlink>
      <w:r>
        <w:t xml:space="preserve">, unchanged. So this reaches the</w:t>
      </w:r>
      <w:r>
        <w:t xml:space="preserve"> </w:t>
      </w:r>
      <w:r>
        <w:t xml:space="preserve">evidence archive and not a deployment's data: do not write it up as covering backup and restore.</w:t>
      </w:r>
    </w:p>
    <w:p>
      <w:pPr>
        <w:pStyle w:val="BodyText"/>
      </w:pPr>
      <w:r>
        <w:rPr>
          <w:b/>
          <w:bCs/>
        </w:rPr>
        <w:t xml:space="preserve">What leaves the build must be only what was intended.</w:t>
      </w:r>
      <w:r>
        <w:t xml:space="preserve"> </w:t>
      </w:r>
      <w:r>
        <w:t xml:space="preserve">Declare an explicit allowlist of what the</w:t>
      </w:r>
      <w:r>
        <w:t xml:space="preserve"> </w:t>
      </w:r>
      <w:r>
        <w:t xml:space="preserve">published artifact contains, gate on it before the upload step, and verify the published artifact once</w:t>
      </w:r>
      <w:r>
        <w:t xml:space="preserve"> </w:t>
      </w:r>
      <w:r>
        <w:t xml:space="preserve">after release, because checking what you built is not checking what shipped.</w:t>
      </w:r>
    </w:p>
    <w:p>
      <w:pPr>
        <w:pStyle w:val="BodyText"/>
      </w:pPr>
      <w:r>
        <w:t xml:space="preserve">The rule and its failure mode are stated in full under</w:t>
      </w:r>
      <w:r>
        <w:t xml:space="preserve"> </w:t>
      </w:r>
      <w:r>
        <w:rPr>
          <w:i/>
          <w:iCs/>
        </w:rPr>
        <w:t xml:space="preserve">Package manifests are allowlists, not sweeps</w:t>
      </w:r>
      <w:r>
        <w:t xml:space="preserve"> </w:t>
      </w:r>
      <w:r>
        <w:t xml:space="preserve">in</w:t>
      </w:r>
      <w:r>
        <w:t xml:space="preserve"> </w:t>
      </w:r>
      <w:hyperlink r:id="rId24">
        <w:r>
          <w:rPr>
            <w:rStyle w:val="Hyperlink"/>
          </w:rPr>
          <w:t xml:space="preserve">CI and standards</w:t>
        </w:r>
      </w:hyperlink>
      <w:r>
        <w:t xml:space="preserve">. The case worth naming here is that material a project</w:t>
      </w:r>
      <w:r>
        <w:t xml:space="preserve"> </w:t>
      </w:r>
      <w:r>
        <w:t xml:space="preserve">treats as withheld can travel inside a published distribution without anyone reviewing the packaging</w:t>
      </w:r>
      <w:r>
        <w:t xml:space="preserve"> </w:t>
      </w:r>
      <w:r>
        <w:t xml:space="preserve">list.</w:t>
      </w:r>
    </w:p>
    <w:bookmarkEnd w:id="48"/>
    <w:bookmarkStart w:id="49" w:name="Xc32df6696e9411929dcc3ab12f3985f03bc5873"/>
    <w:p>
      <w:pPr>
        <w:pStyle w:val="Heading3"/>
      </w:pPr>
      <w:r>
        <w:t xml:space="preserve">Obfuscation is not the control you are looking for</w:t>
      </w:r>
    </w:p>
    <w:p>
      <w:pPr>
        <w:pStyle w:val="FirstParagraph"/>
      </w:pPr>
      <w:r>
        <w:t xml:space="preserve">For code whose source is published, obfuscating or compiling the shipped artifact protects nothing</w:t>
      </w:r>
      <w:r>
        <w:t xml:space="preserve"> </w:t>
      </w:r>
      <w:r>
        <w:t xml:space="preserve">that matters. There is no confidentiality to preserve, and the tamper resistance gained is marginal.</w:t>
      </w:r>
      <w:r>
        <w:t xml:space="preserve"> </w:t>
      </w:r>
      <w:r>
        <w:t xml:space="preserve">Where a copyleft license requires corresponding source, an obfuscated build also creates friction with</w:t>
      </w:r>
      <w:r>
        <w:t xml:space="preserve"> </w:t>
      </w:r>
      <w:r>
        <w:t xml:space="preserve">that obligation.</w:t>
      </w:r>
    </w:p>
    <w:p>
      <w:pPr>
        <w:pStyle w:val="BodyText"/>
      </w:pPr>
      <w:r>
        <w:t xml:space="preserve">The vendors concede the limit themselves. One obfuscation product's own documentation states it is</w:t>
      </w:r>
      <w:r>
        <w:t xml:space="preserve"> </w:t>
      </w:r>
      <w:r>
        <w:t xml:space="preserve">not good at memory protection or anti-debug. The same documentation says its runtime-data protection</w:t>
      </w:r>
      <w:r>
        <w:t xml:space="preserve"> </w:t>
      </w:r>
      <w:r>
        <w:t xml:space="preserve">holds only if the interpreter and its runtime extension are not compromised -- a condition a</w:t>
      </w:r>
      <w:r>
        <w:t xml:space="preserve"> </w:t>
      </w:r>
      <w:r>
        <w:t xml:space="preserve">privileged attacker defeats by definition.</w:t>
      </w:r>
    </w:p>
    <w:p>
      <w:pPr>
        <w:pStyle w:val="BodyText"/>
      </w:pPr>
      <w:r>
        <w:t xml:space="preserve">One native compiler's documentation concedes that its default single-file mode is a self-extracting</w:t>
      </w:r>
      <w:r>
        <w:t xml:space="preserve"> </w:t>
      </w:r>
      <w:r>
        <w:t xml:space="preserve">archive whose contents land on disk for inspection. Bytecode-only distribution is trivially</w:t>
      </w:r>
      <w:r>
        <w:t xml:space="preserve"> </w:t>
      </w:r>
      <w:r>
        <w:t xml:space="preserve">decompiled and patched.</w:t>
      </w:r>
    </w:p>
    <w:p>
      <w:pPr>
        <w:pStyle w:val="BodyText"/>
      </w:pPr>
      <w:r>
        <w:rPr>
          <w:b/>
          <w:bCs/>
        </w:rPr>
        <w:t xml:space="preserve">The rule that survives all of it: a protection scheme that must run inside the process it protects</w:t>
      </w:r>
      <w:r>
        <w:rPr>
          <w:b/>
          <w:bCs/>
        </w:rPr>
        <w:t xml:space="preserve"> </w:t>
      </w:r>
      <w:r>
        <w:rPr>
          <w:b/>
          <w:bCs/>
        </w:rPr>
        <w:t xml:space="preserve">assumes an uncompromised runtime, which is exactly the assumption a privileged attacker breaks.</w:t>
      </w:r>
      <w:r>
        <w:t xml:space="preserve"> </w:t>
      </w:r>
      <w:r>
        <w:t xml:space="preserve">Spend the budget on verification instead -- provenance, attestation, inventory, digests -- because</w:t>
      </w:r>
      <w:r>
        <w:t xml:space="preserve"> </w:t>
      </w:r>
      <w:r>
        <w:t xml:space="preserve">that is what a reviewer can actually check.</w:t>
      </w:r>
    </w:p>
    <w:p>
      <w:pPr>
        <w:pStyle w:val="BodyText"/>
      </w:pPr>
      <w:r>
        <w:t xml:space="preserve">If you do ship a hardened build, position it as raising analysis cost, never as tamper-proof, and keep</w:t>
      </w:r>
      <w:r>
        <w:t xml:space="preserve"> </w:t>
      </w:r>
      <w:r>
        <w:t xml:space="preserve">secrets and authorization decisions out of any artifact an adversary holds.</w:t>
      </w:r>
    </w:p>
    <w:p>
      <w:r>
        <w:pict>
          <v:rect style="width:0;height:1.5pt" o:hralign="center" o:hrstd="t" o:hr="t"/>
        </w:pict>
      </w:r>
    </w:p>
    <w:bookmarkEnd w:id="49"/>
    <w:bookmarkEnd w:id="50"/>
    <w:bookmarkStart w:id="53" w:name="X254797a2ada8f8185b1c8b4abb87efa09aeaec0"/>
    <w:p>
      <w:pPr>
        <w:pStyle w:val="Heading2"/>
      </w:pPr>
      <w:r>
        <w:t xml:space="preserve">11. Runtime tamper resistance, and the bootstrap-trust limit</w:t>
      </w:r>
    </w:p>
    <w:p>
      <w:pPr>
        <w:pStyle w:val="FirstParagraph"/>
      </w:pPr>
      <w:r>
        <w:t xml:space="preserve">An application that hashes its own files against a signed manifest at startup detects accidents and</w:t>
      </w:r>
      <w:r>
        <w:t xml:space="preserve"> </w:t>
      </w:r>
      <w:r>
        <w:t xml:space="preserve">unsophisticated tampering and produces an audit signal. That is worth having, and it is all it is.</w:t>
      </w:r>
    </w:p>
    <w:p>
      <w:pPr>
        <w:pStyle w:val="BodyText"/>
      </w:pPr>
      <w:r>
        <w:t xml:space="preserve">It cannot be more, because</w:t>
      </w:r>
      <w:r>
        <w:t xml:space="preserve"> </w:t>
      </w:r>
      <w:r>
        <w:rPr>
          <w:b/>
          <w:bCs/>
        </w:rPr>
        <w:t xml:space="preserve">the checker runs in the same trust domain as the thing it checks</w:t>
      </w:r>
      <w:r>
        <w:t xml:space="preserve">.</w:t>
      </w:r>
      <w:r>
        <w:t xml:space="preserve"> </w:t>
      </w:r>
      <w:r>
        <w:t xml:space="preserve">Anyone who can edit the code on disk can also edit the manifest, the embedded key, or the verification</w:t>
      </w:r>
      <w:r>
        <w:t xml:space="preserve"> </w:t>
      </w:r>
      <w:r>
        <w:t xml:space="preserve">routine. Anyone who can alter the runtime can stub it.</w:t>
      </w:r>
    </w:p>
    <w:p>
      <w:pPr>
        <w:pStyle w:val="BodyText"/>
      </w:pPr>
      <w:r>
        <w:t xml:space="preserve">The chain of trust only terminates in hardware measured boot, which is a platform decision the</w:t>
      </w:r>
      <w:r>
        <w:t xml:space="preserve"> </w:t>
      </w:r>
      <w:r>
        <w:t xml:space="preserve">operator makes and not something the software ships. Ship the check as defense in depth, document the</w:t>
      </w:r>
      <w:r>
        <w:t xml:space="preserve"> </w:t>
      </w:r>
      <w:r>
        <w:t xml:space="preserve">limit in the same paragraph as the feature, and never let it be quoted as prevention.</w:t>
      </w:r>
    </w:p>
    <w:p>
      <w:pPr>
        <w:pStyle w:val="BodyText"/>
      </w:pPr>
      <w:r>
        <w:t xml:space="preserve">State the honest objective. On a host where the adversary has administrative privilege, every</w:t>
      </w:r>
      <w:r>
        <w:t xml:space="preserve"> </w:t>
      </w:r>
      <w:r>
        <w:t xml:space="preserve">application-level control is ultimately defeatable -- agents can be disabled, baselines altered, the</w:t>
      </w:r>
      <w:r>
        <w:t xml:space="preserve"> </w:t>
      </w:r>
      <w:r>
        <w:t xml:space="preserve">runtime patched, behavior hooked at load time. Say so explicitly rather than letting the control list</w:t>
      </w:r>
      <w:r>
        <w:t xml:space="preserve"> </w:t>
      </w:r>
      <w:r>
        <w:t xml:space="preserve">imply prevention.</w:t>
      </w:r>
    </w:p>
    <w:p>
      <w:pPr>
        <w:pStyle w:val="BodyText"/>
      </w:pPr>
      <w:r>
        <w:t xml:space="preserve">What is achievable is to make tampering noisy, costly and detectable, to produce audit evidence, and</w:t>
      </w:r>
      <w:r>
        <w:t xml:space="preserve"> </w:t>
      </w:r>
      <w:r>
        <w:t xml:space="preserve">to push the trust root as low as the operator is willing to go.</w:t>
      </w:r>
    </w:p>
    <w:bookmarkStart w:id="51" w:name="X03039a66da44c7154d14d988511a9288cf0ecd3"/>
    <w:p>
      <w:pPr>
        <w:pStyle w:val="Heading3"/>
      </w:pPr>
      <w:r>
        <w:t xml:space="preserve">Operator-owned hardening: document and recommend, never claim</w:t>
      </w:r>
    </w:p>
    <w:p>
      <w:pPr>
        <w:pStyle w:val="FirstParagraph"/>
      </w:pPr>
      <w:r>
        <w:t xml:space="preserve">These controls are all stronger than any application-level control named above, and none of them are</w:t>
      </w:r>
      <w:r>
        <w:t xml:space="preserve"> </w:t>
      </w:r>
      <w:r>
        <w:t xml:space="preserve">yours:</w:t>
      </w:r>
    </w:p>
    <w:p>
      <w:pPr>
        <w:pStyle w:val="Compact"/>
        <w:numPr>
          <w:ilvl w:val="0"/>
          <w:numId w:val="1012"/>
        </w:numPr>
      </w:pPr>
      <w:r>
        <w:t xml:space="preserve">file-integrity monitoring against a baseline</w:t>
      </w:r>
    </w:p>
    <w:p>
      <w:pPr>
        <w:pStyle w:val="Compact"/>
        <w:numPr>
          <w:ilvl w:val="0"/>
          <w:numId w:val="1012"/>
        </w:numPr>
      </w:pPr>
      <w:r>
        <w:t xml:space="preserve">immutable or read-only deployment with writable state confined to the data store</w:t>
      </w:r>
    </w:p>
    <w:p>
      <w:pPr>
        <w:pStyle w:val="Compact"/>
        <w:numPr>
          <w:ilvl w:val="0"/>
          <w:numId w:val="1012"/>
        </w:numPr>
      </w:pPr>
      <w:r>
        <w:t xml:space="preserve">least-privilege file ownership so the running account cannot rewrite its own code</w:t>
      </w:r>
    </w:p>
    <w:p>
      <w:pPr>
        <w:pStyle w:val="Compact"/>
        <w:numPr>
          <w:ilvl w:val="0"/>
          <w:numId w:val="1012"/>
        </w:numPr>
      </w:pPr>
      <w:r>
        <w:t xml:space="preserve">confinement under a mandatory access control system</w:t>
      </w:r>
    </w:p>
    <w:p>
      <w:pPr>
        <w:pStyle w:val="Compact"/>
        <w:numPr>
          <w:ilvl w:val="0"/>
          <w:numId w:val="1012"/>
        </w:numPr>
      </w:pPr>
      <w:r>
        <w:t xml:space="preserve">signed-artifact admission control that rejects anything unsigned</w:t>
      </w:r>
    </w:p>
    <w:p>
      <w:pPr>
        <w:pStyle w:val="FirstParagraph"/>
      </w:pPr>
      <w:r>
        <w:t xml:space="preserve">Ship a hardening guide with a concrete list of paths to monitor and example rules, so the operator has</w:t>
      </w:r>
      <w:r>
        <w:t xml:space="preserve"> </w:t>
      </w:r>
      <w:r>
        <w:t xml:space="preserve">something to apply on day one rather than a category name.</w:t>
      </w:r>
    </w:p>
    <w:bookmarkEnd w:id="51"/>
    <w:bookmarkStart w:id="52" w:name="X438150f8dfc89784d5bd3543f347a17625c0f0c"/>
    <w:p>
      <w:pPr>
        <w:pStyle w:val="Heading3"/>
      </w:pPr>
      <w:r>
        <w:t xml:space="preserve">Roll out a blocking verification control in audit mode first</w:t>
      </w:r>
    </w:p>
    <w:p>
      <w:pPr>
        <w:pStyle w:val="FirstParagraph"/>
      </w:pPr>
      <w:r>
        <w:t xml:space="preserve">A control that rejects artifacts failing verification will also reject valid artifacts whenever its</w:t>
      </w:r>
      <w:r>
        <w:t xml:space="preserve"> </w:t>
      </w:r>
      <w:r>
        <w:t xml:space="preserve">own preconditions are unmet -- for instance when the enforcing component cannot reach the store</w:t>
      </w:r>
      <w:r>
        <w:t xml:space="preserve"> </w:t>
      </w:r>
      <w:r>
        <w:t xml:space="preserve">holding the signatures it must fetch.</w:t>
      </w:r>
    </w:p>
    <w:p>
      <w:pPr>
        <w:pStyle w:val="BodyText"/>
      </w:pPr>
      <w:r>
        <w:t xml:space="preserve">Start in audit mode where it reports but does not block, confirm it is resolving what it needs, then</w:t>
      </w:r>
      <w:r>
        <w:t xml:space="preserve"> </w:t>
      </w:r>
      <w:r>
        <w:t xml:space="preserve">switch to enforce.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52"/>
    <w:bookmarkEnd w:id="53"/>
    <w:bookmarkStart w:id="57" w:name="Xc32b009c31e5f6409196a95ed4c1406da6dc82b"/>
    <w:p>
      <w:pPr>
        <w:pStyle w:val="Heading2"/>
      </w:pPr>
      <w:r>
        <w:t xml:space="preserve">12. Vulnerability response, exercised</w:t>
      </w:r>
    </w:p>
    <w:p>
      <w:pPr>
        <w:pStyle w:val="FirstParagraph"/>
      </w:pPr>
      <w:r>
        <w:t xml:space="preserve">A response program is a process control, not a document. It needs:</w:t>
      </w:r>
    </w:p>
    <w:p>
      <w:pPr>
        <w:pStyle w:val="Compact"/>
        <w:numPr>
          <w:ilvl w:val="0"/>
          <w:numId w:val="1013"/>
        </w:numPr>
      </w:pPr>
      <w:r>
        <w:t xml:space="preserve">A defined private intake channel.</w:t>
      </w:r>
    </w:p>
    <w:p>
      <w:pPr>
        <w:pStyle w:val="Compact"/>
        <w:numPr>
          <w:ilvl w:val="0"/>
          <w:numId w:val="1013"/>
        </w:numPr>
      </w:pPr>
      <w:r>
        <w:t xml:space="preserve">Severity-banded remediation windows.</w:t>
      </w:r>
    </w:p>
    <w:p>
      <w:pPr>
        <w:pStyle w:val="Compact"/>
        <w:numPr>
          <w:ilvl w:val="0"/>
          <w:numId w:val="1013"/>
        </w:numPr>
      </w:pPr>
      <w:r>
        <w:t xml:space="preserve">A root-cause review for significant findings, feeding systemic causes back into the standard.</w:t>
      </w:r>
    </w:p>
    <w:p>
      <w:pPr>
        <w:pStyle w:val="Compact"/>
        <w:numPr>
          <w:ilvl w:val="0"/>
          <w:numId w:val="1013"/>
        </w:numPr>
      </w:pPr>
      <w:r>
        <w:t xml:space="preserve">Coordinated disclosure after a fix exists.</w:t>
      </w:r>
    </w:p>
    <w:p>
      <w:pPr>
        <w:pStyle w:val="Compact"/>
        <w:numPr>
          <w:ilvl w:val="0"/>
          <w:numId w:val="1013"/>
        </w:numPr>
      </w:pPr>
      <w:r>
        <w:rPr>
          <w:b/>
          <w:bCs/>
        </w:rPr>
        <w:t xml:space="preserve">The machinery exercised end to end at least once, as a dry run.</w:t>
      </w:r>
      <w:r>
        <w:t xml:space="preserve"> </w:t>
      </w:r>
      <w:r>
        <w:t xml:space="preserve">This is the part usually</w:t>
      </w:r>
      <w:r>
        <w:t xml:space="preserve"> </w:t>
      </w:r>
      <w:r>
        <w:t xml:space="preserve">missing, and it is the part that finds the broken intake address before a real reporter does.</w:t>
      </w:r>
    </w:p>
    <w:p>
      <w:pPr>
        <w:pStyle w:val="FirstParagraph"/>
      </w:pPr>
      <w:r>
        <w:t xml:space="preserve">State when the clock starts, next to the window. The two obvious choices give very different numbers.</w:t>
      </w:r>
      <w:r>
        <w:t xml:space="preserve"> </w:t>
      </w:r>
      <w:r>
        <w:t xml:space="preserve">Measuring from your own triage is right for your own defects. Measuring from the point an upstream</w:t>
      </w:r>
      <w:r>
        <w:t xml:space="preserve"> </w:t>
      </w:r>
      <w:r>
        <w:t xml:space="preserve">fixed version exists is right for a third-party advisory, because a clock started at triage runs</w:t>
      </w:r>
      <w:r>
        <w:t xml:space="preserve"> </w:t>
      </w:r>
      <w:r>
        <w:t xml:space="preserve">against something you cannot act on.</w:t>
      </w:r>
    </w:p>
    <w:p>
      <w:pPr>
        <w:pStyle w:val="BodyText"/>
      </w:pPr>
      <w:r>
        <w:t xml:space="preserve">Pick per finding class, say which, and track the waiting period itself, so an unfixable advisory is</w:t>
      </w:r>
      <w:r>
        <w:t xml:space="preserve"> </w:t>
      </w:r>
      <w:r>
        <w:t xml:space="preserve">visible rather than silently blowing a window.</w:t>
      </w:r>
    </w:p>
    <w:bookmarkStart w:id="54" w:name="what-actually-closes-a-finding"/>
    <w:p>
      <w:pPr>
        <w:pStyle w:val="Heading3"/>
      </w:pPr>
      <w:r>
        <w:t xml:space="preserve">What actually closes a finding</w:t>
      </w:r>
    </w:p>
    <w:p>
      <w:pPr>
        <w:pStyle w:val="FirstParagraph"/>
      </w:pPr>
      <w:r>
        <w:rPr>
          <w:b/>
          <w:bCs/>
        </w:rPr>
        <w:t xml:space="preserve">A finding is closed by the check that produced it going green on the commit containing the fix --</w:t>
      </w:r>
      <w:r>
        <w:rPr>
          <w:b/>
          <w:bCs/>
        </w:rPr>
        <w:t xml:space="preserve"> </w:t>
      </w:r>
      <w:r>
        <w:rPr>
          <w:b/>
          <w:bCs/>
        </w:rPr>
        <w:t xml:space="preserve">not by the fix merging, and not by a later full-suite run being green.</w:t>
      </w:r>
      <w:r>
        <w:t xml:space="preserve"> </w:t>
      </w:r>
      <w:r>
        <w:rPr>
          <w:b/>
          <w:bCs/>
        </w:rPr>
        <w:t xml:space="preserve">[prompted by: 800-53 SI-2b]</w:t>
      </w:r>
      <w:r>
        <w:t xml:space="preserve"> </w:t>
      </w:r>
      <w:r>
        <w:t xml:space="preserve">The control asks that remediation be tested for effectiveness and for</w:t>
      </w:r>
      <w:r>
        <w:t xml:space="preserve"> </w:t>
      </w:r>
      <w:r>
        <w:t xml:space="preserve">side effects before installation. Naming the originating detector as the thing that has to change its</w:t>
      </w:r>
      <w:r>
        <w:t xml:space="preserve"> </w:t>
      </w:r>
      <w:r>
        <w:t xml:space="preserve">verdict is narrower than that, and no catalog states it as a requirement -- it is this document's.</w:t>
      </w:r>
      <w:r>
        <w:t xml:space="preserve"> </w:t>
      </w:r>
      <w:r>
        <w:t xml:space="preserve">A merged fix is a change with an intention attached to it. A green suite establishes that the suite</w:t>
      </w:r>
      <w:r>
        <w:t xml:space="preserve"> </w:t>
      </w:r>
      <w:r>
        <w:t xml:space="preserve">passed; it does not establish that this finding's detector ran and changed its verdict. Those are two</w:t>
      </w:r>
      <w:r>
        <w:t xml:space="preserve"> </w:t>
      </w:r>
      <w:r>
        <w:t xml:space="preserve">different sentences, and only the second one closes anything.</w:t>
      </w:r>
    </w:p>
    <w:p>
      <w:pPr>
        <w:pStyle w:val="BodyText"/>
      </w:pPr>
      <w:r>
        <w:rPr>
          <w:b/>
          <w:bCs/>
        </w:rPr>
        <w:t xml:space="preserve">The confirming run has to be a mirror copy of the original: same check, same ruleset, same scope.</w:t>
      </w:r>
      <w:r>
        <w:t xml:space="preserve"> </w:t>
      </w:r>
      <w:r>
        <w:rPr>
          <w:b/>
          <w:bCs/>
        </w:rPr>
        <w:t xml:space="preserve">[derived: 800-115 section 8.3]</w:t>
      </w:r>
      <w:r>
        <w:t xml:space="preserve"> </w:t>
      </w:r>
      <w:r>
        <w:t xml:space="preserve">A fix confirmed by a differently-configured run has not been</w:t>
      </w:r>
      <w:r>
        <w:t xml:space="preserve"> </w:t>
      </w:r>
      <w:r>
        <w:t xml:space="preserve">confirmed. This is the failure mode</w:t>
      </w:r>
      <w:r>
        <w:t xml:space="preserve"> </w:t>
      </w:r>
      <w:hyperlink w:anchor="Xa04daca1c49463ed52ff2475309af2fe8799704">
        <w:r>
          <w:rPr>
            <w:rStyle w:val="Hyperlink"/>
          </w:rPr>
          <w:t xml:space="preserve">section 5</w:t>
        </w:r>
      </w:hyperlink>
      <w:r>
        <w:t xml:space="preserve"> </w:t>
      </w:r>
      <w:r>
        <w:t xml:space="preserve">already names for</w:t>
      </w:r>
      <w:r>
        <w:t xml:space="preserve"> </w:t>
      </w:r>
      <w:r>
        <w:t xml:space="preserve">baselines: zero findings on a weak ruleset proves nothing. Applied to the closing run instead of the</w:t>
      </w:r>
      <w:r>
        <w:t xml:space="preserve"> </w:t>
      </w:r>
      <w:r>
        <w:t xml:space="preserve">opening one, it is the part that makes a retest mean anything rather than being a second green badge.</w:t>
      </w:r>
    </w:p>
    <w:p>
      <w:pPr>
        <w:pStyle w:val="BodyText"/>
      </w:pPr>
      <w:r>
        <w:t xml:space="preserve">Record three fields per closed finding: the finding identifier, the fix commit, and the identifier of</w:t>
      </w:r>
      <w:r>
        <w:t xml:space="preserve"> </w:t>
      </w:r>
      <w:r>
        <w:t xml:space="preserve">the confirming run. The third field is the one carrying the weight, because a reviewer can resolve a</w:t>
      </w:r>
      <w:r>
        <w:t xml:space="preserve"> </w:t>
      </w:r>
      <w:r>
        <w:t xml:space="preserve">run identifier to a verdict and cannot resolve the word "fixed" to anything at all.</w:t>
      </w:r>
    </w:p>
    <w:p>
      <w:pPr>
        <w:pStyle w:val="BodyText"/>
      </w:pPr>
      <w:r>
        <w:t xml:space="preserve">Two ways this fails. Both are common enough to name rather than leave to inference.</w:t>
      </w:r>
    </w:p>
    <w:p>
      <w:pPr>
        <w:pStyle w:val="BodyText"/>
      </w:pPr>
      <w:r>
        <w:t xml:space="preserve">The fix merges and the check is never re-run, because the check that produced the finding only fires</w:t>
      </w:r>
      <w:r>
        <w:t xml:space="preserve"> </w:t>
      </w:r>
      <w:r>
        <w:t xml:space="preserve">on a schedule. For anything caught by a blocking check the retest is automatic by construction and</w:t>
      </w:r>
      <w:r>
        <w:t xml:space="preserve"> </w:t>
      </w:r>
      <w:r>
        <w:t xml:space="preserve">this rule costs nothing -- most of the value is simply in saying that this is what closure means. The</w:t>
      </w:r>
      <w:r>
        <w:t xml:space="preserve"> </w:t>
      </w:r>
      <w:r>
        <w:t xml:space="preserve">manual work is entirely in the scheduled and advisory jobs, which are precisely the ones nobody</w:t>
      </w:r>
      <w:r>
        <w:t xml:space="preserve"> </w:t>
      </w:r>
      <w:r>
        <w:t xml:space="preserve">re-runs on purpose.</w:t>
      </w:r>
    </w:p>
    <w:p>
      <w:pPr>
        <w:pStyle w:val="BodyText"/>
      </w:pPr>
      <w:r>
        <w:t xml:space="preserve">The finding is closed by adding a suppression. Under</w:t>
      </w:r>
      <w:r>
        <w:t xml:space="preserve"> </w:t>
      </w:r>
      <w:hyperlink w:anchor="X166d910d570b75bb8e35866cbb9a8eb190f1767">
        <w:r>
          <w:rPr>
            <w:rStyle w:val="Hyperlink"/>
          </w:rPr>
          <w:t xml:space="preserve">section 16</w:t>
        </w:r>
      </w:hyperlink>
      <w:r>
        <w:t xml:space="preserve"> </w:t>
      </w:r>
      <w:r>
        <w:t xml:space="preserve">a suppressed</w:t>
      </w:r>
      <w:r>
        <w:t xml:space="preserve"> </w:t>
      </w:r>
      <w:r>
        <w:t xml:space="preserve">rule class is a control that has been turned off, so a suppression routes the finding into the</w:t>
      </w:r>
      <w:r>
        <w:t xml:space="preserve"> </w:t>
      </w:r>
      <w:r>
        <w:t xml:space="preserve">suppression review and never into the closed column. Without that clause stated outright, this rule</w:t>
      </w:r>
      <w:r>
        <w:t xml:space="preserve"> </w:t>
      </w:r>
      <w:r>
        <w:t xml:space="preserve">makes the closure count look better while making the posture worse -- which is the exact species of</w:t>
      </w:r>
      <w:r>
        <w:t xml:space="preserve"> </w:t>
      </w:r>
      <w:r>
        <w:t xml:space="preserve">badge the anti-metrics table in</w:t>
      </w:r>
      <w:r>
        <w:t xml:space="preserve"> </w:t>
      </w:r>
      <w:hyperlink w:anchor="Xa04daca1c49463ed52ff2475309af2fe8799704">
        <w:r>
          <w:rPr>
            <w:rStyle w:val="Hyperlink"/>
          </w:rPr>
          <w:t xml:space="preserve">section 5</w:t>
        </w:r>
      </w:hyperlink>
      <w:r>
        <w:t xml:space="preserve"> </w:t>
      </w:r>
      <w:r>
        <w:t xml:space="preserve">exists to catch.</w:t>
      </w:r>
    </w:p>
    <w:p>
      <w:pPr>
        <w:pStyle w:val="BodyText"/>
      </w:pPr>
      <w:r>
        <w:t xml:space="preserve">Every finding therefore ends in exactly one of two places: closed by retest, or held under a dated</w:t>
      </w:r>
      <w:r>
        <w:t xml:space="preserve"> </w:t>
      </w:r>
      <w:r>
        <w:t xml:space="preserve">signed acceptance in</w:t>
      </w:r>
      <w:r>
        <w:t xml:space="preserve"> </w:t>
      </w:r>
      <w:hyperlink w:anchor="X2e76d4b347a06a9540373165195f11ae36f497b">
        <w:r>
          <w:rPr>
            <w:rStyle w:val="Hyperlink"/>
          </w:rPr>
          <w:t xml:space="preserve">section 13</w:t>
        </w:r>
      </w:hyperlink>
      <w:r>
        <w:t xml:space="preserve">. A finding in neither is an open</w:t>
      </w:r>
      <w:r>
        <w:t xml:space="preserve"> </w:t>
      </w:r>
      <w:r>
        <w:t xml:space="preserve">item wearing the costume of a closed one.</w:t>
      </w:r>
    </w:p>
    <w:p>
      <w:pPr>
        <w:pStyle w:val="BodyText"/>
      </w:pPr>
      <w:r>
        <w:t xml:space="preserve">The cost is three fields in a tracker you already have, plus a re-run that was going to happen anyway,</w:t>
      </w:r>
      <w:r>
        <w:t xml:space="preserve"> </w:t>
      </w:r>
      <w:r>
        <w:t xml:space="preserve">so this adds no row to the release gate. It is</w:t>
      </w:r>
      <w:r>
        <w:t xml:space="preserve"> </w:t>
      </w:r>
      <w:hyperlink w:anchor="Xa04daca1c49463ed52ff2475309af2fe8799704">
        <w:r>
          <w:rPr>
            <w:rStyle w:val="Hyperlink"/>
            <w:i/>
            <w:iCs/>
          </w:rPr>
          <w:t xml:space="preserve">fire the failure class at the gate before crediting its green</w:t>
        </w:r>
      </w:hyperlink>
      <w:r>
        <w:t xml:space="preserve"> </w:t>
      </w:r>
      <w:r>
        <w:t xml:space="preserve">from</w:t>
      </w:r>
      <w:r>
        <w:t xml:space="preserve"> </w:t>
      </w:r>
      <w:hyperlink w:anchor="Xa04daca1c49463ed52ff2475309af2fe8799704">
        <w:r>
          <w:rPr>
            <w:rStyle w:val="Hyperlink"/>
          </w:rPr>
          <w:t xml:space="preserve">section 5</w:t>
        </w:r>
      </w:hyperlink>
      <w:r>
        <w:t xml:space="preserve">, applied per</w:t>
      </w:r>
      <w:r>
        <w:t xml:space="preserve"> </w:t>
      </w:r>
      <w:r>
        <w:t xml:space="preserve">finding rather than per control.</w:t>
      </w:r>
    </w:p>
    <w:p>
      <w:pPr>
        <w:pStyle w:val="BodyText"/>
      </w:pPr>
      <w:r>
        <w:t xml:space="preserve">Measure time-to-remediate against the windows you set.</w:t>
      </w:r>
      <w:r>
        <w:t xml:space="preserve"> </w:t>
      </w:r>
      <w:r>
        <w:rPr>
          <w:b/>
          <w:bCs/>
        </w:rPr>
        <w:t xml:space="preserve">[derived: 800-53 SI-2(3)]</w:t>
      </w:r>
      <w:r>
        <w:t xml:space="preserve"> </w:t>
      </w:r>
      <w:r>
        <w:t xml:space="preserve">Record the</w:t>
      </w:r>
      <w:r>
        <w:t xml:space="preserve"> </w:t>
      </w:r>
      <w:r>
        <w:t xml:space="preserve">identification date and the remediation date per finding, and compare the distribution against your</w:t>
      </w:r>
      <w:r>
        <w:t xml:space="preserve"> </w:t>
      </w:r>
      <w:r>
        <w:t xml:space="preserve">stated windows the next time you set them. A window you have never measured against is a number you</w:t>
      </w:r>
      <w:r>
        <w:t xml:space="preserve"> </w:t>
      </w:r>
      <w:r>
        <w:t xml:space="preserve">picked, and this document already forbids treating a picked number as a threshold -- so whatever the</w:t>
      </w:r>
      <w:r>
        <w:t xml:space="preserve"> </w:t>
      </w:r>
      <w:r>
        <w:t xml:space="preserve">data suggests, the resulting window stays labelled project-set and directional. This is also where the</w:t>
      </w:r>
      <w:r>
        <w:t xml:space="preserve"> </w:t>
      </w:r>
      <w:r>
        <w:t xml:space="preserve">waiting period on an unfixable upstream advisory finally gets recorded, rather than being a discipline</w:t>
      </w:r>
      <w:r>
        <w:t xml:space="preserve"> </w:t>
      </w:r>
      <w:r>
        <w:t xml:space="preserve">with nowhere to live.</w:t>
      </w:r>
    </w:p>
    <w:bookmarkEnd w:id="54"/>
    <w:bookmarkStart w:id="56" w:name="X8d72319090a80d3626098f71df57004d8b137c9"/>
    <w:p>
      <w:pPr>
        <w:pStyle w:val="Heading3"/>
      </w:pPr>
      <w:r>
        <w:t xml:space="preserve">The producer half: an intake a reporter can find, and an advisory a tool can read</w:t>
      </w:r>
    </w:p>
    <w:p>
      <w:pPr>
        <w:pStyle w:val="FirstParagraph"/>
      </w:pPr>
      <w:hyperlink w:anchor="Xf8794b0126bc78285fb10778097a0695650e57d">
        <w:r>
          <w:rPr>
            <w:rStyle w:val="Hyperlink"/>
          </w:rPr>
          <w:t xml:space="preserve">Section 1</w:t>
        </w:r>
      </w:hyperlink>
      <w:r>
        <w:t xml:space="preserve">'s split already puts vulnerability</w:t>
      </w:r>
      <w:r>
        <w:t xml:space="preserve"> </w:t>
      </w:r>
      <w:r>
        <w:t xml:space="preserve">response and disclosure in the producing project's column, opposite monitoring, patching and incident</w:t>
      </w:r>
      <w:r>
        <w:t xml:space="preserve"> </w:t>
      </w:r>
      <w:r>
        <w:t xml:space="preserve">response in the operating organization's. The right-hand half is written down. The left-hand half is</w:t>
      </w:r>
      <w:r>
        <w:t xml:space="preserve"> </w:t>
      </w:r>
      <w:r>
        <w:t xml:space="preserve">the list at the top of this section, and that list says the machinery must exist without saying what a</w:t>
      </w:r>
      <w:r>
        <w:t xml:space="preserve"> </w:t>
      </w:r>
      <w:r>
        <w:t xml:space="preserve">reporter or an adopter ever sees of it. Three things are what they actually encounter, and two more</w:t>
      </w:r>
      <w:r>
        <w:t xml:space="preserve"> </w:t>
      </w:r>
      <w:r>
        <w:t xml:space="preserve">are decisions that show from outside only by never having been made.</w:t>
      </w:r>
    </w:p>
    <w:p>
      <w:pPr>
        <w:pStyle w:val="BodyText"/>
      </w:pPr>
      <w:r>
        <w:t xml:space="preserve">Publish the address of the private intake channel where a reporter will look, and state what happens</w:t>
      </w:r>
      <w:r>
        <w:t xml:space="preserve"> </w:t>
      </w:r>
      <w:r>
        <w:t xml:space="preserve">next. What is published is where to send a report, never the reports: the channel stays confidential,</w:t>
      </w:r>
      <w:r>
        <w:t xml:space="preserve"> </w:t>
      </w:r>
      <w:r>
        <w:t xml:space="preserve">per the list above, and only its address and its terms are public. Publish, at least:</w:t>
      </w:r>
    </w:p>
    <w:p>
      <w:pPr>
        <w:pStyle w:val="Compact"/>
        <w:numPr>
          <w:ilvl w:val="0"/>
          <w:numId w:val="1014"/>
        </w:numPr>
      </w:pPr>
      <w:r>
        <w:t xml:space="preserve">a security contact at a documented address</w:t>
      </w:r>
    </w:p>
    <w:p>
      <w:pPr>
        <w:pStyle w:val="Compact"/>
        <w:numPr>
          <w:ilvl w:val="0"/>
          <w:numId w:val="1014"/>
        </w:numPr>
      </w:pPr>
      <w:r>
        <w:t xml:space="preserve">a policy file in the repository where the source host surfaces it</w:t>
      </w:r>
    </w:p>
    <w:p>
      <w:pPr>
        <w:pStyle w:val="Compact"/>
        <w:numPr>
          <w:ilvl w:val="0"/>
          <w:numId w:val="1014"/>
        </w:numPr>
      </w:pPr>
      <w:r>
        <w:t xml:space="preserve">a stated acknowledgment time</w:t>
      </w:r>
    </w:p>
    <w:p>
      <w:pPr>
        <w:pStyle w:val="FirstParagraph"/>
      </w:pPr>
      <w:r>
        <w:t xml:space="preserve">Say what you will not do in the same place: no payment, no bounty, no timeline beyond the bands, and</w:t>
      </w:r>
      <w:r>
        <w:t xml:space="preserve"> </w:t>
      </w:r>
      <w:r>
        <w:t xml:space="preserve">whether a reporter is credited. An unstated expectation is where a coordinated report becomes a public</w:t>
      </w:r>
      <w:r>
        <w:t xml:space="preserve"> </w:t>
      </w:r>
      <w:r>
        <w:t xml:space="preserve">one. Requiring an account, a login or a form to file is the same defect as an unmonitored address: a</w:t>
      </w:r>
      <w:r>
        <w:t xml:space="preserve"> </w:t>
      </w:r>
      <w:r>
        <w:t xml:space="preserve">channel that exists and does not work. The dry run in the list above is the only thing that</w:t>
      </w:r>
      <w:r>
        <w:t xml:space="preserve"> </w:t>
      </w:r>
      <w:r>
        <w:t xml:space="preserve">establishes it does.</w:t>
      </w:r>
    </w:p>
    <w:p>
      <w:pPr>
        <w:pStyle w:val="BodyText"/>
      </w:pPr>
      <w:r>
        <w:t xml:space="preserve">Publish the windows with the clock start next to each one. The bands are required above, and so is</w:t>
      </w:r>
      <w:r>
        <w:t xml:space="preserve"> </w:t>
      </w:r>
      <w:r>
        <w:t xml:space="preserve">stating where the clock starts. The addition is that the published version carries both, because a</w:t>
      </w:r>
      <w:r>
        <w:t xml:space="preserve"> </w:t>
      </w:r>
      <w:r>
        <w:t xml:space="preserve">window whose start point is unstated cannot be missed and is therefore not a commitment. Label them</w:t>
      </w:r>
      <w:r>
        <w:t xml:space="preserve"> </w:t>
      </w:r>
      <w:r>
        <w:t xml:space="preserve">project-set, per this document's position that no framework supplies a validated number.</w:t>
      </w:r>
    </w:p>
    <w:p>
      <w:pPr>
        <w:pStyle w:val="BodyText"/>
      </w:pPr>
      <w:r>
        <w:t xml:space="preserve">Ship an advisory per fixed vulnerability, on a channel machines read. A changelog line is not an</w:t>
      </w:r>
      <w:r>
        <w:t xml:space="preserve"> </w:t>
      </w:r>
      <w:r>
        <w:t xml:space="preserve">advisory. Nothing in an adopter's tooling reads prose, so a fix announced only that way reaches the</w:t>
      </w:r>
      <w:r>
        <w:t xml:space="preserve"> </w:t>
      </w:r>
      <w:r>
        <w:t xml:space="preserve">adopters who happened to be reading. Publish at least the affected versions and the fixed version, the</w:t>
      </w:r>
      <w:r>
        <w:t xml:space="preserve"> </w:t>
      </w:r>
      <w:r>
        <w:t xml:space="preserve">impact in one sentence, whether a configuration change mitigates it without upgrading, and a stable</w:t>
      </w:r>
      <w:r>
        <w:t xml:space="preserve"> </w:t>
      </w:r>
      <w:r>
        <w:t xml:space="preserve">identifier. Where the ecosystem has a public advisory database or an identifier authority, file there</w:t>
      </w:r>
      <w:r>
        <w:t xml:space="preserve"> </w:t>
      </w:r>
      <w:r>
        <w:t xml:space="preserve">too: that is the step that puts the entry into the feeds a blocking dependency audit consumes, and</w:t>
      </w:r>
      <w:r>
        <w:t xml:space="preserve"> </w:t>
      </w:r>
      <w:hyperlink r:id="rId55">
        <w:r>
          <w:rPr>
            <w:rStyle w:val="Hyperlink"/>
          </w:rPr>
          <w:t xml:space="preserve">dependency and artifact integrity</w:t>
        </w:r>
      </w:hyperlink>
      <w:r>
        <w:t xml:space="preserve"> </w:t>
      </w:r>
      <w:r>
        <w:t xml:space="preserve">covers that consuming half in full.</w:t>
      </w:r>
      <w:r>
        <w:t xml:space="preserve"> </w:t>
      </w:r>
      <w:r>
        <w:t xml:space="preserve">Issuing one is the same act seen from the producing end, and the asymmetry is worth naming. It is the</w:t>
      </w:r>
      <w:r>
        <w:t xml:space="preserve"> </w:t>
      </w:r>
      <w:r>
        <w:t xml:space="preserve">common state: a project can be rigorous about every advisory it reads and have never written one.</w:t>
      </w:r>
    </w:p>
    <w:p>
      <w:pPr>
        <w:pStyle w:val="BodyText"/>
      </w:pPr>
      <w:r>
        <w:t xml:space="preserve">Decide the threshold for what gets an advisory, and write it down. Not every security-relevant fix</w:t>
      </w:r>
      <w:r>
        <w:t xml:space="preserve"> </w:t>
      </w:r>
      <w:r>
        <w:t xml:space="preserve">warrants one. A project that has issued none has usually never decided rather than decided not to, and</w:t>
      </w:r>
      <w:r>
        <w:t xml:space="preserve"> </w:t>
      </w:r>
      <w:r>
        <w:t xml:space="preserve">those two look identical from outside.</w:t>
      </w:r>
    </w:p>
    <w:p>
      <w:pPr>
        <w:pStyle w:val="BodyText"/>
      </w:pPr>
      <w:r>
        <w:t xml:space="preserve">Set a maximum embargo, so coordinated does not become indefinite. Disclosure after a fix exists is</w:t>
      </w:r>
      <w:r>
        <w:t xml:space="preserve"> </w:t>
      </w:r>
      <w:r>
        <w:t xml:space="preserve">already required above. What it leaves open is the fix that never quite lands and the report that is</w:t>
      </w:r>
      <w:r>
        <w:t xml:space="preserve"> </w:t>
      </w:r>
      <w:r>
        <w:t xml:space="preserve">therefore never published, which is</w:t>
      </w:r>
      <w:r>
        <w:t xml:space="preserve"> </w:t>
      </w:r>
      <w:hyperlink w:anchor="X2e76d4b347a06a9540373165195f11ae36f497b">
        <w:r>
          <w:rPr>
            <w:rStyle w:val="Hyperlink"/>
          </w:rPr>
          <w:t xml:space="preserve">section 13</w:t>
        </w:r>
      </w:hyperlink>
      <w:r>
        <w:t xml:space="preserve">'s</w:t>
      </w:r>
      <w:r>
        <w:t xml:space="preserve"> </w:t>
      </w:r>
      <w:r>
        <w:t xml:space="preserve">permanent-excuse shape in different clothes. State the point at which you publish with or without a</w:t>
      </w:r>
      <w:r>
        <w:t xml:space="preserve"> </w:t>
      </w:r>
      <w:r>
        <w:t xml:space="preserve">fix, including the mitigation if that is all there is.</w:t>
      </w:r>
    </w:p>
    <w:p>
      <w:pPr>
        <w:pStyle w:val="BodyText"/>
      </w:pPr>
      <w:r>
        <w:t xml:space="preserve">Two honest limits.</w:t>
      </w:r>
      <w:r>
        <w:t xml:space="preserve"> </w:t>
      </w:r>
      <w:r>
        <w:rPr>
          <w:b/>
          <w:bCs/>
        </w:rPr>
        <w:t xml:space="preserve">An advisory tells an adopter a fix exists. It does not deploy it.</w:t>
      </w:r>
      <w:r>
        <w:t xml:space="preserve"> </w:t>
      </w:r>
      <w:r>
        <w:t xml:space="preserve">Released is</w:t>
      </w:r>
      <w:r>
        <w:t xml:space="preserve"> </w:t>
      </w:r>
      <w:r>
        <w:t xml:space="preserve">not deployed, deploying is the right-hand column of</w:t>
      </w:r>
      <w:r>
        <w:t xml:space="preserve"> </w:t>
      </w:r>
      <w:hyperlink w:anchor="Xf8794b0126bc78285fb10778097a0695650e57d">
        <w:r>
          <w:rPr>
            <w:rStyle w:val="Hyperlink"/>
          </w:rPr>
          <w:t xml:space="preserve">section 1</w:t>
        </w:r>
      </w:hyperlink>
      <w:r>
        <w:t xml:space="preserve">'s table, and writing the advisory as</w:t>
      </w:r>
      <w:r>
        <w:t xml:space="preserve"> </w:t>
      </w:r>
      <w:r>
        <w:t xml:space="preserve">though issuing it discharged anything over there is the over-reach that table exists to prevent. And</w:t>
      </w:r>
      <w:r>
        <w:t xml:space="preserve"> </w:t>
      </w:r>
      <w:r>
        <w:rPr>
          <w:b/>
          <w:bCs/>
        </w:rPr>
        <w:t xml:space="preserve">this is a producer's disclosure path, not an incident response program.</w:t>
      </w:r>
      <w:r>
        <w:t xml:space="preserve"> </w:t>
      </w:r>
      <w:r>
        <w:t xml:space="preserve">Incidents are generated</w:t>
      </w:r>
      <w:r>
        <w:t xml:space="preserve"> </w:t>
      </w:r>
      <w:r>
        <w:t xml:space="preserve">by running the software. The coverage table below records the catalog's incident-response family as</w:t>
      </w:r>
      <w:r>
        <w:t xml:space="preserve"> </w:t>
      </w:r>
      <w:r>
        <w:t xml:space="preserve">not addressed here and gives the reason, and nothing in this subsection changes it.</w:t>
      </w:r>
    </w:p>
    <w:p>
      <w:pPr>
        <w:pStyle w:val="BodyText"/>
      </w:pPr>
      <w:r>
        <w:t xml:space="preserve">Recommended: published artifacts and a stated policy. The end-to-end dry run that already has to</w:t>
      </w:r>
      <w:r>
        <w:t xml:space="preserve"> </w:t>
      </w:r>
      <w:r>
        <w:t xml:space="preserve">happen once is where this gets exercised -- file a test report into the intake, take a test advisory</w:t>
      </w:r>
      <w:r>
        <w:t xml:space="preserve"> </w:t>
      </w:r>
      <w:r>
        <w:t xml:space="preserve">through the announce path. It adds no second rehearsal and no row to the release gate in</w:t>
      </w:r>
      <w:r>
        <w:t xml:space="preserve"> </w:t>
      </w:r>
      <w:hyperlink w:anchor="X166d910d570b75bb8e35866cbb9a8eb190f1767">
        <w:r>
          <w:rPr>
            <w:rStyle w:val="Hyperlink"/>
          </w:rPr>
          <w:t xml:space="preserve">section 16</w:t>
        </w:r>
      </w:hyperlink>
      <w:r>
        <w:t xml:space="preserve">.</w:t>
      </w:r>
    </w:p>
    <w:p>
      <w:r>
        <w:pict>
          <v:rect style="width:0;height:1.5pt" o:hralign="center" o:hrstd="t" o:hr="t"/>
        </w:pict>
      </w:r>
    </w:p>
    <w:bookmarkEnd w:id="56"/>
    <w:bookmarkEnd w:id="57"/>
    <w:bookmarkStart w:id="58" w:name="X2e76d4b347a06a9540373165195f11ae36f497b"/>
    <w:p>
      <w:pPr>
        <w:pStyle w:val="Heading2"/>
      </w:pPr>
      <w:r>
        <w:t xml:space="preserve">13. Deviations and risk acceptance</w:t>
      </w:r>
    </w:p>
    <w:p>
      <w:pPr>
        <w:pStyle w:val="FirstParagraph"/>
      </w:pPr>
      <w:r>
        <w:t xml:space="preserve">Where current practice differs from what the standard requires, write the deviation down rather than</w:t>
      </w:r>
      <w:r>
        <w:t xml:space="preserve"> </w:t>
      </w:r>
      <w:r>
        <w:t xml:space="preserve">quietly redefining the requirement. Each entry carries four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it describes no</w:t>
      </w:r>
      <w:r>
        <w:t xml:space="preserve"> </w:t>
      </w:r>
      <w:r>
        <w:t xml:space="preserve">real project, the date is made up, and it is</w:t>
      </w:r>
      <w:r>
        <w:t xml:space="preserve"> </w:t>
      </w:r>
      <w:r>
        <w:rPr>
          <w:b/>
          <w:bCs/>
        </w:rPr>
        <w:t xml:space="preserve">not this document's own register</w:t>
      </w:r>
      <w:r>
        <w:t xml:space="preserve"> </w:t>
      </w:r>
      <w:r>
        <w:t xml:space="preserve">-- publishing that</w:t>
      </w:r>
      <w:r>
        <w:t xml:space="preserve"> </w:t>
      </w:r>
      <w:r>
        <w:t xml:space="preserve">is what the rule two paragraphs below forbids. The shape is the point; read nothing about anyone's</w:t>
      </w:r>
      <w:r>
        <w:t xml:space="preserve"> </w:t>
      </w:r>
      <w:r>
        <w:t xml:space="preserve">posture out of the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 -- each listed only where it is actually in force</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the constraint that this set is described as a compensating control and explicitly not as an independent audit</w:t>
            </w:r>
          </w:p>
        </w:tc>
      </w:tr>
    </w:tbl>
    <w:p>
      <w:pPr>
        <w:pStyle w:val="BodyText"/>
      </w:pPr>
      <w:r>
        <w:rPr>
          <w:b/>
          <w:bCs/>
        </w:rPr>
        <w:t xml:space="preserve">Only a dated, signed acceptance is governance.</w:t>
      </w:r>
      <w:r>
        <w:t xml:space="preserve"> </w:t>
      </w:r>
      <w:r>
        <w:t xml:space="preserve">A register of accepted risks is not, on its own. An</w:t>
      </w:r>
      <w:r>
        <w:t xml:space="preserve"> </w:t>
      </w:r>
      <w:r>
        <w:t xml:space="preserve">unsigned acceptance is an un-accepted open gap wearing the costume of a decision, and a release gate</w:t>
      </w:r>
      <w:r>
        <w:t xml:space="preserve"> </w:t>
      </w:r>
      <w:r>
        <w:t xml:space="preserve">that leans on one is not a gate.</w:t>
      </w:r>
    </w:p>
    <w:p>
      <w:pPr>
        <w:pStyle w:val="BodyText"/>
      </w:pPr>
      <w:r>
        <w:rPr>
          <w:b/>
          <w:bCs/>
        </w:rPr>
        <w:t xml:space="preserve">Publish the rule, not the inventory.</w:t>
      </w:r>
      <w:r>
        <w:t xml:space="preserve"> </w:t>
      </w:r>
      <w:r>
        <w:t xml:space="preserve">A register enumerating which controls are currently absent,</w:t>
      </w:r>
      <w:r>
        <w:t xml:space="preserve"> </w:t>
      </w:r>
      <w:r>
        <w:t xml:space="preserve">which are off by default, and what is holding each one safe is an operational document with a narrow</w:t>
      </w:r>
      <w:r>
        <w:t xml:space="preserve"> </w:t>
      </w:r>
      <w:r>
        <w:t xml:space="preserve">audience. Keep it. Do not publish it, and do not reconstruct it in generalized form -- a generalized</w:t>
      </w:r>
      <w:r>
        <w:t xml:space="preserve"> </w:t>
      </w:r>
      <w:r>
        <w:t xml:space="preserve">list of the places a class of software is typically weak is the same artifact with the names filed</w:t>
      </w:r>
      <w:r>
        <w:t xml:space="preserve"> </w:t>
      </w:r>
      <w:r>
        <w:t xml:space="preserve">off.</w:t>
      </w:r>
    </w:p>
    <w:p>
      <w:pPr>
        <w:pStyle w:val="BodyText"/>
      </w:pPr>
      <w:r>
        <w:rPr>
          <w:b/>
          <w:bCs/>
        </w:rPr>
        <w:t xml:space="preserve">Mark added practices as recommended, and say they add no blocking gate.</w:t>
      </w:r>
      <w:r>
        <w:t xml:space="preserve"> </w:t>
      </w:r>
      <w:r>
        <w:t xml:space="preserve">When you grow a standard,</w:t>
      </w:r>
      <w:r>
        <w:t xml:space="preserve"> </w:t>
      </w:r>
      <w:r>
        <w:t xml:space="preserve">state each addition's normative force explicitly and say in the same paragraph that it introduces no</w:t>
      </w:r>
      <w:r>
        <w:t xml:space="preserve"> </w:t>
      </w:r>
      <w:r>
        <w:t xml:space="preserve">new blocking release gate and weakens no existing requirement. Additions without that marking either</w:t>
      </w:r>
      <w:r>
        <w:t xml:space="preserve"> </w:t>
      </w:r>
      <w:r>
        <w:t xml:space="preserve">get treated as mandatory and stall adoption, or get ignored and quietly hollow out the document.</w:t>
      </w:r>
    </w:p>
    <w:p>
      <w:r>
        <w:pict>
          <v:rect style="width:0;height:1.5pt" o:hralign="center" o:hrstd="t" o:hr="t"/>
        </w:pict>
      </w:r>
    </w:p>
    <w:bookmarkEnd w:id="58"/>
    <w:bookmarkStart w:id="59"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A project that ships nothing for a year runs no</w:t>
      </w:r>
      <w:r>
        <w:t xml:space="preserve"> </w:t>
      </w:r>
      <w:r>
        <w:t xml:space="preserve">security review in that year. Three of the ways a control degrades to nothing leave no trace a</w:t>
      </w:r>
      <w:r>
        <w:t xml:space="preserve"> </w:t>
      </w:r>
      <w:r>
        <w:t xml:space="preserve">per-change gate would ever see: a suppression added, a job flipped from blocking to advisory, and a</w:t>
      </w:r>
      <w:r>
        <w:t xml:space="preserve"> </w:t>
      </w:r>
      <w:r>
        <w:t xml:space="preserve">deviation whose ending trigger fired while its compensating control quietly became the permanent</w:t>
      </w:r>
      <w:r>
        <w:t xml:space="preserve"> </w:t>
      </w:r>
      <w:r>
        <w:t xml:space="preserve">state.</w:t>
      </w:r>
    </w:p>
    <w:p>
      <w:pPr>
        <w:pStyle w:val="BodyText"/>
      </w:pPr>
      <w:r>
        <w:t xml:space="preserve">Run a recurring pass on a stated cadence.</w:t>
      </w:r>
      <w:r>
        <w:t xml:space="preserve"> </w:t>
      </w:r>
      <w:r>
        <w:rPr>
          <w:b/>
          <w:bCs/>
        </w:rPr>
        <w:t xml:space="preserve">[derived: 800-53 CA-7b]</w:t>
      </w:r>
      <w:r>
        <w:t xml:space="preserve"> </w:t>
      </w:r>
      <w:r>
        <w:t xml:space="preserve">It does exactly four things, and</w:t>
      </w:r>
      <w:r>
        <w:t xml:space="preserve"> </w:t>
      </w:r>
      <w:r>
        <w:t xml:space="preserve">the count is a cap of this document's own rather than anything the catalog asks for:</w:t>
      </w:r>
    </w:p>
    <w:p>
      <w:pPr>
        <w:pStyle w:val="Compact"/>
        <w:numPr>
          <w:ilvl w:val="0"/>
          <w:numId w:val="1015"/>
        </w:numPr>
      </w:pPr>
      <w:r>
        <w:t xml:space="preserve">Sweep the deviations register for entries whose ending trigger has already fired, and for entries</w:t>
      </w:r>
      <w:r>
        <w:t xml:space="preserve"> </w:t>
      </w:r>
      <w:r>
        <w:t xml:space="preserve">not reviewed since the last pass.</w:t>
      </w:r>
    </w:p>
    <w:p>
      <w:pPr>
        <w:pStyle w:val="Compact"/>
        <w:numPr>
          <w:ilvl w:val="0"/>
          <w:numId w:val="1015"/>
        </w:numPr>
      </w:pPr>
      <w:r>
        <w:t xml:space="preserve">Re-confirm from the blocking-job list, not from a badge, that every check in the unwaivable set</w:t>
      </w:r>
      <w:r>
        <w:t xml:space="preserve"> </w:t>
      </w:r>
      <w:r>
        <w:t xml:space="preserve">still blocks.</w:t>
      </w:r>
    </w:p>
    <w:p>
      <w:pPr>
        <w:pStyle w:val="Compact"/>
        <w:numPr>
          <w:ilvl w:val="0"/>
          <w:numId w:val="1015"/>
        </w:numPr>
      </w:pPr>
      <w:r>
        <w:t xml:space="preserve">Confirm the scanner suppression list has not grown unreviewed.</w:t>
      </w:r>
    </w:p>
    <w:p>
      <w:pPr>
        <w:pStyle w:val="Compact"/>
        <w:numPr>
          <w:ilvl w:val="0"/>
          <w:numId w:val="1015"/>
        </w:numPr>
      </w:pPr>
      <w:r>
        <w:t xml:space="preserve">Check whether a trust boundary now exists with no threat model.</w:t>
      </w:r>
    </w:p>
    <w:p>
      <w:pPr>
        <w:pStyle w:val="FirstParagraph"/>
      </w:pPr>
      <w:r>
        <w:t xml:space="preserve">Set the cadence yourself and label it project-set, consistent with this document's position that no</w:t>
      </w:r>
      <w:r>
        <w:t xml:space="preserve"> </w:t>
      </w:r>
      <w:r>
        <w:t xml:space="preserve">framework supplies a validated threshold. The evidence is a dated entry per pass recording what was</w:t>
      </w:r>
      <w:r>
        <w:t xml:space="preserve"> </w:t>
      </w:r>
      <w:r>
        <w:t xml:space="preserve">checked and what changed, which is also what gives the deviations register the ageing it needs to be</w:t>
      </w:r>
      <w:r>
        <w:t xml:space="preserve"> </w:t>
      </w:r>
      <w:r>
        <w:t xml:space="preserve">more than a list.</w:t>
      </w:r>
    </w:p>
    <w:p>
      <w:pPr>
        <w:pStyle w:val="BodyText"/>
      </w:pPr>
      <w:r>
        <w:t xml:space="preserve">Hold it to four. A periodic pass in a small team dies by growing. Somebody adds a fifth item and a</w:t>
      </w:r>
      <w:r>
        <w:t xml:space="preserve"> </w:t>
      </w:r>
      <w:r>
        <w:t xml:space="preserve">sixth, the pass stops being run, and an unrun scheduled control is worse than an absent one because it</w:t>
      </w:r>
      <w:r>
        <w:t xml:space="preserve"> </w:t>
      </w:r>
      <w:r>
        <w:t xml:space="preserve">still looks green from outside. The cadences named elsewhere -- the principal enumeration and the</w:t>
      </w:r>
      <w:r>
        <w:t xml:space="preserve"> </w:t>
      </w:r>
      <w:r>
        <w:t xml:space="preserve">pinned tool set in</w:t>
      </w:r>
      <w:r>
        <w:t xml:space="preserve"> </w:t>
      </w:r>
      <w:hyperlink w:anchor="X48eebdbfd8d38cb086e115614d17c7297664944">
        <w:r>
          <w:rPr>
            <w:rStyle w:val="Hyperlink"/>
          </w:rPr>
          <w:t xml:space="preserve">section 10</w:t>
        </w:r>
      </w:hyperlink>
      <w:r>
        <w:t xml:space="preserve"> </w:t>
      </w:r>
      <w:r>
        <w:t xml:space="preserve">-- are their own schedules against</w:t>
      </w:r>
      <w:r>
        <w:t xml:space="preserve"> </w:t>
      </w:r>
      <w:r>
        <w:t xml:space="preserve">their own artifacts, and folding them in here is the growth this rule exists to forbid.</w:t>
      </w:r>
    </w:p>
    <w:p>
      <w:pPr>
        <w:pStyle w:val="BodyText"/>
      </w:pPr>
      <w:r>
        <w:t xml:space="preserve">Prefer an event trigger to the calendar wherever an event exists. A trigger tied to a change fires</w:t>
      </w:r>
      <w:r>
        <w:t xml:space="preserve"> </w:t>
      </w:r>
      <w:r>
        <w:t xml:space="preserve">when the answer actually changed, and leaves the diff as its own evidence. A calendar reminder is the</w:t>
      </w:r>
      <w:r>
        <w:t xml:space="preserve"> </w:t>
      </w:r>
      <w:r>
        <w:t xml:space="preserve">first thing dropped in a busy month. The data-class table in</w:t>
      </w:r>
      <w:r>
        <w:t xml:space="preserve"> </w:t>
      </w:r>
      <w:hyperlink w:anchor="Xf8794b0126bc78285fb10778097a0695650e57d">
        <w:r>
          <w:rPr>
            <w:rStyle w:val="Hyperlink"/>
          </w:rPr>
          <w:t xml:space="preserve">section 1</w:t>
        </w:r>
      </w:hyperlink>
      <w:r>
        <w:t xml:space="preserve"> </w:t>
      </w:r>
      <w:r>
        <w:t xml:space="preserve">is the clearest case, which is why it</w:t>
      </w:r>
      <w:r>
        <w:t xml:space="preserve"> </w:t>
      </w:r>
      <w:r>
        <w:t xml:space="preserve">is event-triggered rather than a fifth item here. It is amended when a change adds a data class, gives</w:t>
      </w:r>
      <w:r>
        <w:t xml:space="preserve"> </w:t>
      </w:r>
      <w:r>
        <w:t xml:space="preserve">an existing class a new resting place, or adds a boundary.</w:t>
      </w:r>
      <w:r>
        <w:t xml:space="preserve"> </w:t>
      </w:r>
      <w:hyperlink w:anchor="X166d910d570b75bb8e35866cbb9a8eb190f1767">
        <w:r>
          <w:rPr>
            <w:rStyle w:val="Hyperlink"/>
          </w:rPr>
          <w:t xml:space="preserve">Section 16</w:t>
        </w:r>
      </w:hyperlink>
      <w:r>
        <w:t xml:space="preserve">'s gate carries the matching row.</w:t>
      </w:r>
    </w:p>
    <w:p>
      <w:pPr>
        <w:pStyle w:val="BodyText"/>
      </w:pPr>
      <w:r>
        <w:t xml:space="preserve">State the normative force plainly, because it is not uniform across this section. The four-item pass</w:t>
      </w:r>
      <w:r>
        <w:t xml:space="preserve"> </w:t>
      </w:r>
      <w:r>
        <w:t xml:space="preserve">is a recurring practice and blocks nothing. The event trigger on the data-class table does add one row</w:t>
      </w:r>
      <w:r>
        <w:t xml:space="preserve"> </w:t>
      </w:r>
      <w:r>
        <w:t xml:space="preserve">to the release gate in</w:t>
      </w:r>
      <w:r>
        <w:t xml:space="preserve"> </w:t>
      </w:r>
      <w:hyperlink w:anchor="X166d910d570b75bb8e35866cbb9a8eb190f1767">
        <w:r>
          <w:rPr>
            <w:rStyle w:val="Hyperlink"/>
          </w:rPr>
          <w:t xml:space="preserve">section 16</w:t>
        </w:r>
      </w:hyperlink>
      <w:r>
        <w:t xml:space="preserve"> </w:t>
      </w:r>
      <w:r>
        <w:t xml:space="preserve">-- the only new gate row this material</w:t>
      </w:r>
      <w:r>
        <w:t xml:space="preserve"> </w:t>
      </w:r>
      <w:r>
        <w:t xml:space="preserve">introduces -- and it is a row answerable from a diff rather than from a judgment.</w:t>
      </w:r>
    </w:p>
    <w:p>
      <w:r>
        <w:pict>
          <v:rect style="width:0;height:1.5pt" o:hralign="center" o:hrstd="t" o:hr="t"/>
        </w:pict>
      </w:r>
    </w:p>
    <w:bookmarkEnd w:id="59"/>
    <w:bookmarkStart w:id="62" w:name="X635127d1d4d4de93cff91f98240bebbfa4bd556"/>
    <w:p>
      <w:pPr>
        <w:pStyle w:val="Heading2"/>
      </w:pPr>
      <w:r>
        <w:t xml:space="preserve">15. Independent external verification</w:t>
      </w:r>
    </w:p>
    <w:p>
      <w:pPr>
        <w:pStyle w:val="FirstParagraph"/>
      </w:pPr>
      <w:r>
        <w:rPr>
          <w:b/>
          <w:bCs/>
        </w:rPr>
        <w:t xml:space="preserve">Third-party source review and penetration testing are the only controls an internally-run pipeline</w:t>
      </w:r>
      <w:r>
        <w:rPr>
          <w:b/>
          <w:bCs/>
        </w:rPr>
        <w:t xml:space="preserve"> </w:t>
      </w:r>
      <w:r>
        <w:rPr>
          <w:b/>
          <w:bCs/>
        </w:rPr>
        <w:t xml:space="preserve">cannot substitute for.</w:t>
      </w:r>
      <w:r>
        <w:t xml:space="preserve"> </w:t>
      </w:r>
      <w:r>
        <w:rPr>
          <w:b/>
          <w:bCs/>
        </w:rPr>
        <w:t xml:space="preserve">[prompted by: 800-53 CA-8(1)]</w:t>
      </w:r>
      <w:r>
        <w:t xml:space="preserve"> </w:t>
      </w:r>
      <w:r>
        <w:t xml:space="preserve">Their absence caps what you can honestly</w:t>
      </w:r>
      <w:r>
        <w:t xml:space="preserve"> </w:t>
      </w:r>
      <w:r>
        <w:t xml:space="preserve">claim, no matter how good the automated layer is.</w:t>
      </w:r>
    </w:p>
    <w:p>
      <w:pPr>
        <w:pStyle w:val="BodyText"/>
      </w:pPr>
      <w:r>
        <w:t xml:space="preserve">Dynamic testing was named in that sentence in an earlier version of this material, and has been</w:t>
      </w:r>
      <w:r>
        <w:t xml:space="preserve"> </w:t>
      </w:r>
      <w:r>
        <w:t xml:space="preserve">removed from it. That was wrong, and it mattered: it let a reader believe dynamic testing was</w:t>
      </w:r>
      <w:r>
        <w:t xml:space="preserve"> </w:t>
      </w:r>
      <w:r>
        <w:t xml:space="preserve">unavailable without funding. A developer-run malformed-input harness costs runner minutes rather than</w:t>
      </w:r>
      <w:r>
        <w:t xml:space="preserve"> </w:t>
      </w:r>
      <w:r>
        <w:t xml:space="preserve">money,</w:t>
      </w:r>
      <w:r>
        <w:t xml:space="preserve"> </w:t>
      </w:r>
      <w:hyperlink w:anchor="Xac02c7d32d5bb277c9e44f3436addfe1b1747df">
        <w:r>
          <w:rPr>
            <w:rStyle w:val="Hyperlink"/>
          </w:rPr>
          <w:t xml:space="preserve">section 2</w:t>
        </w:r>
      </w:hyperlink>
      <w:r>
        <w:t xml:space="preserve"> </w:t>
      </w:r>
      <w:r>
        <w:t xml:space="preserve">describes it, and</w:t>
      </w:r>
      <w:r>
        <w:t xml:space="preserve"> </w:t>
      </w:r>
      <w:hyperlink w:anchor="Xa04daca1c49463ed52ff2475309af2fe8799704">
        <w:r>
          <w:rPr>
            <w:rStyle w:val="Hyperlink"/>
          </w:rPr>
          <w:t xml:space="preserve">section 5</w:t>
        </w:r>
      </w:hyperlink>
      <w:r>
        <w:t xml:space="preserve"> </w:t>
      </w:r>
      <w:r>
        <w:t xml:space="preserve">says when it runs.</w:t>
      </w:r>
      <w:r>
        <w:t xml:space="preserve"> </w:t>
      </w:r>
      <w:r>
        <w:t xml:space="preserve">It is weaker than an external engagement, not out of reach without one, and both halves of that go in</w:t>
      </w:r>
      <w:r>
        <w:t xml:space="preserve"> </w:t>
      </w:r>
      <w:r>
        <w:t xml:space="preserve">together.</w:t>
      </w:r>
    </w:p>
    <w:bookmarkStart w:id="61" w:name="X8b98e4f88d127ae6f6acda887bb5aa503179c3d"/>
    <w:p>
      <w:pPr>
        <w:pStyle w:val="Heading3"/>
      </w:pPr>
      <w:r>
        <w:t xml:space="preserve">Write the engagement down before it starts</w:t>
      </w:r>
    </w:p>
    <w:p>
      <w:pPr>
        <w:pStyle w:val="FirstParagraph"/>
      </w:pPr>
      <w:r>
        <w:t xml:space="preserve">Scope the engagement in writing, and have it reviewed and approved before work begins.</w:t>
      </w:r>
      <w:r>
        <w:t xml:space="preserve"> </w:t>
      </w:r>
      <w:r>
        <w:rPr>
          <w:b/>
          <w:bCs/>
        </w:rPr>
        <w:t xml:space="preserve">[derived: 800-53 CA-2b, CA-2c]</w:t>
      </w:r>
      <w:r>
        <w:t xml:space="preserve"> </w:t>
      </w:r>
      <w:r>
        <w:t xml:space="preserve">The plan names what is under assessment, the procedures to be used</w:t>
      </w:r>
      <w:r>
        <w:t xml:space="preserve"> </w:t>
      </w:r>
      <w:r>
        <w:t xml:space="preserve">to determine whether a control is effective, and the environment, the team and the roles. The ordering</w:t>
      </w:r>
      <w:r>
        <w:t xml:space="preserve"> </w:t>
      </w:r>
      <w:r>
        <w:t xml:space="preserve">is part of the requirement rather than a nicety: approved prior to conducting, not written up</w:t>
      </w:r>
      <w:r>
        <w:t xml:space="preserve"> </w:t>
      </w:r>
      <w:r>
        <w:t xml:space="preserve">afterwards from what happened.</w:t>
      </w:r>
    </w:p>
    <w:p>
      <w:pPr>
        <w:pStyle w:val="BodyText"/>
      </w:pPr>
      <w:r>
        <w:t xml:space="preserve">Agree the rules of engagement with the other side, countersigned, before testing commences.</w:t>
      </w:r>
      <w:r>
        <w:t xml:space="preserve"> </w:t>
      </w:r>
      <w:r>
        <w:rPr>
          <w:b/>
          <w:bCs/>
        </w:rPr>
        <w:t xml:space="preserve">[derived: 800-115 Appendix B]</w:t>
      </w:r>
      <w:r>
        <w:t xml:space="preserve"> </w:t>
      </w:r>
      <w:r>
        <w:t xml:space="preserve">The template that survives:</w:t>
      </w:r>
    </w:p>
    <w:p>
      <w:pPr>
        <w:pStyle w:val="Compact"/>
        <w:numPr>
          <w:ilvl w:val="0"/>
          <w:numId w:val="1016"/>
        </w:numPr>
      </w:pPr>
      <w:r>
        <w:t xml:space="preserve">the objective, and what is explicitly out of scope</w:t>
      </w:r>
    </w:p>
    <w:p>
      <w:pPr>
        <w:pStyle w:val="Compact"/>
        <w:numPr>
          <w:ilvl w:val="0"/>
          <w:numId w:val="1016"/>
        </w:numPr>
      </w:pPr>
      <w:r>
        <w:t xml:space="preserve">the environment and the authorized test site</w:t>
      </w:r>
    </w:p>
    <w:p>
      <w:pPr>
        <w:pStyle w:val="Compact"/>
        <w:numPr>
          <w:ilvl w:val="0"/>
          <w:numId w:val="1016"/>
        </w:numPr>
      </w:pPr>
      <w:r>
        <w:t xml:space="preserve">the artifacts you hand over up front -- threat models, architecture, previous assessment results,</w:t>
      </w:r>
      <w:r>
        <w:t xml:space="preserve"> </w:t>
      </w:r>
      <w:r>
        <w:t xml:space="preserve">the deviations register</w:t>
      </w:r>
    </w:p>
    <w:p>
      <w:pPr>
        <w:pStyle w:val="Compact"/>
        <w:numPr>
          <w:ilvl w:val="0"/>
          <w:numId w:val="1016"/>
        </w:numPr>
      </w:pPr>
      <w:r>
        <w:t xml:space="preserve">named points of contact on both sides, including the incident-response contact</w:t>
      </w:r>
    </w:p>
    <w:p>
      <w:pPr>
        <w:pStyle w:val="Compact"/>
        <w:numPr>
          <w:ilvl w:val="0"/>
          <w:numId w:val="1016"/>
        </w:numPr>
      </w:pPr>
      <w:r>
        <w:t xml:space="preserve">permitted testing hours</w:t>
      </w:r>
    </w:p>
    <w:p>
      <w:pPr>
        <w:pStyle w:val="Compact"/>
        <w:numPr>
          <w:ilvl w:val="0"/>
          <w:numId w:val="1016"/>
        </w:numPr>
      </w:pPr>
      <w:r>
        <w:t xml:space="preserve">the risks and their agreed mitigations</w:t>
      </w:r>
    </w:p>
    <w:p>
      <w:pPr>
        <w:pStyle w:val="Compact"/>
        <w:numPr>
          <w:ilvl w:val="0"/>
          <w:numId w:val="1016"/>
        </w:numPr>
      </w:pPr>
      <w:r>
        <w:t xml:space="preserve">what data the tester may encounter, and how it must be handled and destroyed</w:t>
      </w:r>
    </w:p>
    <w:p>
      <w:pPr>
        <w:pStyle w:val="Compact"/>
        <w:numPr>
          <w:ilvl w:val="0"/>
          <w:numId w:val="1016"/>
        </w:numPr>
      </w:pPr>
      <w:r>
        <w:t xml:space="preserve">how findings are delivered and disclosed</w:t>
      </w:r>
    </w:p>
    <w:p>
      <w:pPr>
        <w:pStyle w:val="FirstParagraph"/>
      </w:pPr>
      <w:r>
        <w:t xml:space="preserve">The data-handling clause is the one teams skip and the hardest to repair afterwards. Testing can</w:t>
      </w:r>
      <w:r>
        <w:t xml:space="preserve"> </w:t>
      </w:r>
      <w:r>
        <w:t xml:space="preserve">expose to an outside party information held under a regime the adopting organization operates under,</w:t>
      </w:r>
      <w:r>
        <w:t xml:space="preserve"> </w:t>
      </w:r>
      <w:r>
        <w:t xml:space="preserve">and the rules of engagement are where the handling and destruction expectations get written down.</w:t>
      </w:r>
      <w:r>
        <w:t xml:space="preserve"> </w:t>
      </w:r>
      <w:hyperlink w:anchor="Xf8794b0126bc78285fb10778097a0695650e57d">
        <w:r>
          <w:rPr>
            <w:rStyle w:val="Hyperlink"/>
          </w:rPr>
          <w:t xml:space="preserve">Section 1</w:t>
        </w:r>
      </w:hyperlink>
      <w:r>
        <w:t xml:space="preserve">'s data-class table is what you hand</w:t>
      </w:r>
      <w:r>
        <w:t xml:space="preserve"> </w:t>
      </w:r>
      <w:r>
        <w:t xml:space="preserve">over to make that clause specific rather than generic.</w:t>
      </w:r>
    </w:p>
    <w:p>
      <w:pPr>
        <w:pStyle w:val="BodyText"/>
      </w:pPr>
      <w:r>
        <w:t xml:space="preserve">An unscoped engagement produces a report you cannot use. A finding whose scope was never agreed cannot</w:t>
      </w:r>
      <w:r>
        <w:t xml:space="preserve"> </w:t>
      </w:r>
      <w:r>
        <w:t xml:space="preserve">be traced to a boundary in</w:t>
      </w:r>
      <w:r>
        <w:t xml:space="preserve"> </w:t>
      </w:r>
      <w:hyperlink w:anchor="Xac02c7d32d5bb277c9e44f3436addfe1b1747df">
        <w:r>
          <w:rPr>
            <w:rStyle w:val="Hyperlink"/>
          </w:rPr>
          <w:t xml:space="preserve">section 2</w:t>
        </w:r>
      </w:hyperlink>
      <w:r>
        <w:t xml:space="preserve">, and</w:t>
      </w:r>
      <w:r>
        <w:t xml:space="preserve"> </w:t>
      </w:r>
      <w:r>
        <w:t xml:space="preserve">it cannot be closed under the retest rule in</w:t>
      </w:r>
      <w:r>
        <w:t xml:space="preserve"> </w:t>
      </w:r>
      <w:hyperlink w:anchor="Xc32b009c31e5f6409196a95ed4c1406da6dc82b">
        <w:r>
          <w:rPr>
            <w:rStyle w:val="Hyperlink"/>
          </w:rPr>
          <w:t xml:space="preserve">section 12</w:t>
        </w:r>
      </w:hyperlink>
      <w:r>
        <w:t xml:space="preserve">, because there is no agreed original run for a</w:t>
      </w:r>
      <w:r>
        <w:t xml:space="preserve"> </w:t>
      </w:r>
      <w:r>
        <w:t xml:space="preserve">confirming run to mirror. Independence is the other half: an engagement run by a party with no stake</w:t>
      </w:r>
      <w:r>
        <w:t xml:space="preserve"> </w:t>
      </w:r>
      <w:r>
        <w:t xml:space="preserve">in the result is what distinguishes this from the self-assessment</w:t>
      </w:r>
      <w:r>
        <w:t xml:space="preserve"> </w:t>
      </w:r>
      <w:hyperlink w:anchor="Xd93b41aba76cd6464a6e694c5ed1cd30484ae10">
        <w:r>
          <w:rPr>
            <w:rStyle w:val="Hyperlink"/>
          </w:rPr>
          <w:t xml:space="preserve">section 17</w:t>
        </w:r>
      </w:hyperlink>
      <w:r>
        <w:t xml:space="preserve"> </w:t>
      </w:r>
      <w:r>
        <w:t xml:space="preserve">forbids conflating with it.</w:t>
      </w:r>
    </w:p>
    <w:p>
      <w:pPr>
        <w:pStyle w:val="BodyText"/>
      </w:pPr>
      <w:r>
        <w:t xml:space="preserve">Write this even if the engagement is never funded. Scope is what an engagement is priced on, so</w:t>
      </w:r>
      <w:r>
        <w:t xml:space="preserve"> </w:t>
      </w:r>
      <w:r>
        <w:t xml:space="preserve">writing it before soliciting quotes is the difference between comparable bids and a surprise. And</w:t>
      </w:r>
      <w:r>
        <w:t xml:space="preserve"> </w:t>
      </w:r>
      <w:hyperlink w:anchor="X2e76d4b347a06a9540373165195f11ae36f497b">
        <w:r>
          <w:rPr>
            <w:rStyle w:val="Hyperlink"/>
          </w:rPr>
          <w:t xml:space="preserve">section 13</w:t>
        </w:r>
      </w:hyperlink>
      <w:r>
        <w:t xml:space="preserve"> </w:t>
      </w:r>
      <w:r>
        <w:t xml:space="preserve">requires holding the unfunded gap under a dated</w:t>
      </w:r>
      <w:r>
        <w:t xml:space="preserve"> </w:t>
      </w:r>
      <w:r>
        <w:t xml:space="preserve">signed acceptance, where an acceptance naming what would have been in scope is a far stronger record</w:t>
      </w:r>
      <w:r>
        <w:t xml:space="preserve"> </w:t>
      </w:r>
      <w:r>
        <w:t xml:space="preserve">than one saying testing was not performed. It adds no row to the release gate; it makes the row</w:t>
      </w:r>
      <w:r>
        <w:t xml:space="preserve"> </w:t>
      </w:r>
      <w:r>
        <w:t xml:space="preserve">already there answerable.</w:t>
      </w:r>
    </w:p>
    <w:p>
      <w:pPr>
        <w:pStyle w:val="BodyText"/>
      </w:pPr>
      <w:r>
        <w:t xml:space="preserve">Where the engagement has not happened, say so plainly and hold the gap under a dated signed</w:t>
      </w:r>
      <w:r>
        <w:t xml:space="preserve"> </w:t>
      </w:r>
      <w:r>
        <w:t xml:space="preserve">acceptance. Do not let a self-assessment read as verification, and do not omit the cost context.</w:t>
      </w:r>
    </w:p>
    <w:p>
      <w:pPr>
        <w:pStyle w:val="BodyText"/>
      </w:pPr>
      <w:r>
        <w:t xml:space="preserve">A bare "not yet performed" with no explanation reads as negligence. But "not yet performed, and here</w:t>
      </w:r>
      <w:r>
        <w:t xml:space="preserve"> </w:t>
      </w:r>
      <w:r>
        <w:t xml:space="preserve">is the order of magnitude it would cost" reads as a funding constraint a reader can evaluate.</w:t>
      </w:r>
    </w:p>
    <w:p>
      <w:pPr>
        <w:pStyle w:val="BodyText"/>
      </w:pPr>
      <w:r>
        <w:t xml:space="preserve">Do not gate somebody else's deployment on your engagement. For software an adopter self-hosts, the</w:t>
      </w:r>
      <w:r>
        <w:t xml:space="preserve"> </w:t>
      </w:r>
      <w:r>
        <w:t xml:space="preserve">decision to deploy and the assessment supporting it belong to the adopting organization. Record what</w:t>
      </w:r>
      <w:r>
        <w:t xml:space="preserve"> </w:t>
      </w:r>
      <w:r>
        <w:t xml:space="preserve">has and has not been independently verified; do not assert authority over a rollout you do not</w:t>
      </w:r>
      <w:r>
        <w:t xml:space="preserve"> </w:t>
      </w:r>
      <w:r>
        <w:t xml:space="preserve">control.</w:t>
      </w:r>
    </w:p>
    <w:p>
      <w:pPr>
        <w:pStyle w:val="BodyText"/>
      </w:pPr>
      <w:r>
        <w:t xml:space="preserve">This is a correction to an earlier version of this material, which stated the independent review as a</w:t>
      </w:r>
      <w:r>
        <w:t xml:space="preserve"> </w:t>
      </w:r>
      <w:r>
        <w:t xml:space="preserve">precondition for production exposure -- an over-reach for software the producer does not operate.</w:t>
      </w:r>
    </w:p>
    <w:p>
      <w:pPr>
        <w:pStyle w:val="BodyText"/>
      </w:pPr>
      <w:r>
        <w:t xml:space="preserve">If you are running a formal assessment against a published verification standard, the method for it is</w:t>
      </w:r>
      <w:r>
        <w:t xml:space="preserve"> </w:t>
      </w:r>
      <w:r>
        <w:t xml:space="preserve">covered in</w:t>
      </w:r>
      <w:r>
        <w:t xml:space="preserve"> </w:t>
      </w:r>
      <w:hyperlink r:id="rId60">
        <w:r>
          <w:rPr>
            <w:rStyle w:val="Hyperlink"/>
          </w:rPr>
          <w:t xml:space="preserve">running a large security-standard assessment with AI agents</w:t>
        </w:r>
      </w:hyperlink>
      <w:r>
        <w:t xml:space="preserve">. That</w:t>
      </w:r>
      <w:r>
        <w:t xml:space="preserve"> </w:t>
      </w:r>
      <w:r>
        <w:t xml:space="preserve">covers:</w:t>
      </w:r>
    </w:p>
    <w:p>
      <w:pPr>
        <w:pStyle w:val="Compact"/>
        <w:numPr>
          <w:ilvl w:val="0"/>
          <w:numId w:val="1017"/>
        </w:numPr>
      </w:pPr>
      <w:r>
        <w:t xml:space="preserve">verdict vocabulary</w:t>
      </w:r>
    </w:p>
    <w:p>
      <w:pPr>
        <w:pStyle w:val="Compact"/>
        <w:numPr>
          <w:ilvl w:val="0"/>
          <w:numId w:val="1017"/>
        </w:numPr>
      </w:pPr>
      <w:r>
        <w:t xml:space="preserve">why</w:t>
      </w:r>
      <w:r>
        <w:t xml:space="preserve"> </w:t>
      </w:r>
      <w:r>
        <w:rPr>
          <w:rStyle w:val="VerbatimChar"/>
        </w:rPr>
        <w:t xml:space="preserve">unverified</w:t>
      </w:r>
      <w:r>
        <w:t xml:space="preserve"> </w:t>
      </w:r>
      <w:r>
        <w:t xml:space="preserve">must never read as a pass</w:t>
      </w:r>
    </w:p>
    <w:p>
      <w:pPr>
        <w:pStyle w:val="Compact"/>
        <w:numPr>
          <w:ilvl w:val="0"/>
          <w:numId w:val="1017"/>
        </w:numPr>
      </w:pPr>
      <w:r>
        <w:t xml:space="preserve">evidence anchors a machine can re-check</w:t>
      </w:r>
    </w:p>
    <w:p>
      <w:pPr>
        <w:pStyle w:val="Compact"/>
        <w:numPr>
          <w:ilvl w:val="0"/>
          <w:numId w:val="1017"/>
        </w:numPr>
      </w:pPr>
      <w:r>
        <w:t xml:space="preserve">pinning the standard's corpus</w:t>
      </w:r>
    </w:p>
    <w:p>
      <w:pPr>
        <w:pStyle w:val="Compact"/>
        <w:numPr>
          <w:ilvl w:val="0"/>
          <w:numId w:val="1017"/>
        </w:numPr>
      </w:pPr>
      <w:r>
        <w:t xml:space="preserve">how to read a movement in a score</w:t>
      </w:r>
    </w:p>
    <w:p>
      <w:pPr>
        <w:pStyle w:val="FirstParagraph"/>
      </w:pPr>
      <w:r>
        <w:t xml:space="preserve">Do not build a second procedure beside it.</w:t>
      </w:r>
    </w:p>
    <w:p>
      <w:r>
        <w:pict>
          <v:rect style="width:0;height:1.5pt" o:hralign="center" o:hrstd="t" o:hr="t"/>
        </w:pict>
      </w:r>
    </w:p>
    <w:bookmarkEnd w:id="61"/>
    <w:bookmarkEnd w:id="62"/>
    <w:bookmarkStart w:id="64" w:name="X166d910d570b75bb8e35866cbb9a8eb190f1767"/>
    <w:p>
      <w:pPr>
        <w:pStyle w:val="Heading2"/>
      </w:pPr>
      <w:r>
        <w:t xml:space="preserve">16. The release gate</w:t>
      </w:r>
    </w:p>
    <w:p>
      <w:pPr>
        <w:pStyle w:val="FirstParagraph"/>
      </w:pPr>
      <w:r>
        <w:t xml:space="preserve">Codify the gate as an explicit pass or fail list rather than a judgment:</w:t>
      </w:r>
    </w:p>
    <w:p>
      <w:pPr>
        <w:pStyle w:val="Compact"/>
        <w:numPr>
          <w:ilvl w:val="0"/>
          <w:numId w:val="1018"/>
        </w:numPr>
      </w:pPr>
      <w:r>
        <w:t xml:space="preserve">Automated blocking checks passing on the exact commit being released.</w:t>
      </w:r>
    </w:p>
    <w:p>
      <w:pPr>
        <w:pStyle w:val="Compact"/>
        <w:numPr>
          <w:ilvl w:val="0"/>
          <w:numId w:val="1018"/>
        </w:numPr>
      </w:pPr>
      <w:r>
        <w:t xml:space="preserve">No unresolved high or critical findings.</w:t>
      </w:r>
    </w:p>
    <w:p>
      <w:pPr>
        <w:pStyle w:val="Compact"/>
        <w:numPr>
          <w:ilvl w:val="0"/>
          <w:numId w:val="1018"/>
        </w:numPr>
      </w:pPr>
      <w:r>
        <w:t xml:space="preserve">Current independent-review status, or a signed risk acceptance standing in for it.</w:t>
      </w:r>
    </w:p>
    <w:p>
      <w:pPr>
        <w:pStyle w:val="Compact"/>
        <w:numPr>
          <w:ilvl w:val="0"/>
          <w:numId w:val="1018"/>
        </w:numPr>
      </w:pPr>
      <w:r>
        <w:t xml:space="preserve">Updated evidence.</w:t>
      </w:r>
    </w:p>
    <w:p>
      <w:pPr>
        <w:pStyle w:val="Compact"/>
        <w:numPr>
          <w:ilvl w:val="0"/>
          <w:numId w:val="1018"/>
        </w:numPr>
      </w:pPr>
      <w:r>
        <w:t xml:space="preserve">A signed artifact with its component inventory and digest manifest attached to the tag.</w:t>
      </w:r>
    </w:p>
    <w:p>
      <w:pPr>
        <w:pStyle w:val="Compact"/>
        <w:numPr>
          <w:ilvl w:val="0"/>
          <w:numId w:val="1018"/>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t xml:space="preserve">Two constraints on reading it.</w:t>
      </w:r>
      <w:r>
        <w:t xml:space="preserve"> </w:t>
      </w:r>
      <w:r>
        <w:rPr>
          <w:b/>
          <w:bCs/>
        </w:rPr>
        <w:t xml:space="preserve">The gate must not lean on an unsigned acceptance</w:t>
      </w:r>
      <w:r>
        <w:t xml:space="preserve">, or it is not a</w:t>
      </w:r>
      <w:r>
        <w:t xml:space="preserve"> </w:t>
      </w:r>
      <w:r>
        <w:t xml:space="preserve">gate. And</w:t>
      </w:r>
      <w:r>
        <w:t xml:space="preserve"> </w:t>
      </w:r>
      <w:r>
        <w:rPr>
          <w:b/>
          <w:bCs/>
        </w:rPr>
        <w:t xml:space="preserve">no single row is the gate on its own</w:t>
      </w:r>
      <w:r>
        <w:t xml:space="preserve"> </w:t>
      </w:r>
      <w:r>
        <w:t xml:space="preserve">-- the composite is.</w:t>
      </w:r>
    </w:p>
    <w:p>
      <w:pPr>
        <w:pStyle w:val="BodyText"/>
      </w:pPr>
      <w:r>
        <w:t xml:space="preserve">One caveat belongs next to it permanently: "no unresolved high or critical" is only as honest as the</w:t>
      </w:r>
      <w:r>
        <w:t xml:space="preserve"> </w:t>
      </w:r>
      <w:r>
        <w:t xml:space="preserve">scanner baselines behind it. It says nothing if the baseline was set on a weak ruleset, or if advisory</w:t>
      </w:r>
      <w:r>
        <w:t xml:space="preserve"> </w:t>
      </w:r>
      <w:r>
        <w:t xml:space="preserve">jobs were miscounted as gating coverage. Verify enforcement from the blocking-job list, not from a</w:t>
      </w:r>
      <w:r>
        <w:t xml:space="preserve"> </w:t>
      </w:r>
      <w:r>
        <w:t xml:space="preserve">green badge -- see</w:t>
      </w:r>
      <w:r>
        <w:t xml:space="preserve"> </w:t>
      </w:r>
      <w:r>
        <w:rPr>
          <w:i/>
          <w:iCs/>
        </w:rPr>
        <w:t xml:space="preserve">A check that cannot fail is not a control</w:t>
      </w:r>
      <w:r>
        <w:t xml:space="preserve"> </w:t>
      </w:r>
      <w:r>
        <w:t xml:space="preserve">in</w:t>
      </w:r>
      <w:r>
        <w:t xml:space="preserve"> </w:t>
      </w:r>
      <w:hyperlink r:id="rId24">
        <w:r>
          <w:rPr>
            <w:rStyle w:val="Hyperlink"/>
          </w:rPr>
          <w:t xml:space="preserve">CI and standards</w:t>
        </w:r>
      </w:hyperlink>
      <w:r>
        <w:t xml:space="preserve">.</w:t>
      </w:r>
    </w:p>
    <w:bookmarkStart w:id="63" w:name="X6bf3214004d99c2dac31ed30d2dbee672c0e4ba"/>
    <w:p>
      <w:pPr>
        <w:pStyle w:val="Heading3"/>
      </w:pPr>
      <w:r>
        <w:t xml:space="preserve">Confirm the control plane before reading any code</w:t>
      </w:r>
    </w:p>
    <w:p>
      <w:pPr>
        <w:pStyle w:val="FirstParagraph"/>
      </w:pPr>
      <w:r>
        <w:t xml:space="preserve">Confirming the control plane is a separate pass from reading code, and it comes first. For each</w:t>
      </w:r>
      <w:r>
        <w:t xml:space="preserve"> </w:t>
      </w:r>
      <w:r>
        <w:t xml:space="preserve">required check, confirm three things and read no source: that it exists, that it blocks rather than</w:t>
      </w:r>
      <w:r>
        <w:t xml:space="preserve"> </w:t>
      </w:r>
      <w:r>
        <w:t xml:space="preserve">advises, and that it was green on the exact commit being released. The release change's own pipeline</w:t>
      </w:r>
      <w:r>
        <w:t xml:space="preserve"> </w:t>
      </w:r>
      <w:r>
        <w:t xml:space="preserve">run is the control plane executing.</w:t>
      </w:r>
    </w:p>
    <w:p>
      <w:pPr>
        <w:pStyle w:val="BodyText"/>
      </w:pPr>
      <w:r>
        <w:t xml:space="preserve">Review the scanner suppression list explicitly rather than accepting it, because a suppressed rule</w:t>
      </w:r>
      <w:r>
        <w:t xml:space="preserve"> </w:t>
      </w:r>
      <w:r>
        <w:t xml:space="preserve">class is a control that has been turned off. A finding closed by adding a suppression is not a closed</w:t>
      </w:r>
      <w:r>
        <w:t xml:space="preserve"> </w:t>
      </w:r>
      <w:r>
        <w:t xml:space="preserve">finding, and it lands in this review rather than in the closed column --</w:t>
      </w:r>
      <w:r>
        <w:t xml:space="preserve"> </w:t>
      </w:r>
      <w:hyperlink w:anchor="Xc32b009c31e5f6409196a95ed4c1406da6dc82b">
        <w:r>
          <w:rPr>
            <w:rStyle w:val="Hyperlink"/>
          </w:rPr>
          <w:t xml:space="preserve">section 12</w:t>
        </w:r>
      </w:hyperlink>
      <w:r>
        <w:t xml:space="preserve"> </w:t>
      </w:r>
      <w:r>
        <w:t xml:space="preserve">carries that rule in full. Mark which</w:t>
      </w:r>
      <w:r>
        <w:t xml:space="preserve"> </w:t>
      </w:r>
      <w:r>
        <w:t xml:space="preserve">nominally-security jobs are advisory and do not count those as coverage. Only then spend line-by-line</w:t>
      </w:r>
      <w:r>
        <w:t xml:space="preserve"> </w:t>
      </w:r>
      <w:r>
        <w:t xml:space="preserve">reading on what the automated controls cannot cover.</w:t>
      </w:r>
    </w:p>
    <w:p>
      <w:r>
        <w:pict>
          <v:rect style="width:0;height:1.5pt" o:hralign="center" o:hrstd="t" o:hr="t"/>
        </w:pict>
      </w:r>
    </w:p>
    <w:bookmarkEnd w:id="63"/>
    <w:bookmarkEnd w:id="64"/>
    <w:bookmarkStart w:id="65" w:name="Xd93b41aba76cd6464a6e694c5ed1cd30484ae10"/>
    <w:p>
      <w:pPr>
        <w:pStyle w:val="Heading2"/>
      </w:pPr>
      <w:r>
        <w:t xml:space="preserve">17. What you may claim</w:t>
      </w:r>
    </w:p>
    <w:p>
      <w:pPr>
        <w:pStyle w:val="FirstParagraph"/>
      </w:pPr>
      <w:r>
        <w:t xml:space="preserve">The register you have is</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w:t>
      </w:r>
      <w:r>
        <w:t xml:space="preserve"> </w:t>
      </w:r>
      <w:r>
        <w:t xml:space="preserve">evidence, and each a claim about this document and your own process. You do not have</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r>
        <w:t xml:space="preserve">, and writing one of those is the fastest way to have the</w:t>
      </w:r>
      <w:r>
        <w:t xml:space="preserve"> </w:t>
      </w:r>
      <w:r>
        <w:t xml:space="preserve">whole page discounted.</w:t>
      </w:r>
    </w:p>
    <w:p>
      <w:pPr>
        <w:pStyle w:val="BodyText"/>
      </w:pPr>
      <w:r>
        <w:t xml:space="preserve">The register does not extend to a publication you cited. "Aligned with" is available only against</w:t>
      </w:r>
      <w:r>
        <w:t xml:space="preserve"> </w:t>
      </w:r>
      <w:r>
        <w:t xml:space="preserve">a named control identifier -- "this practice corresponds to SP 800-53 Rev. 5 control SA-11(8)" is a</w:t>
      </w:r>
      <w:r>
        <w:t xml:space="preserve"> </w:t>
      </w:r>
      <w:r>
        <w:t xml:space="preserve">claim a reviewer can check against one paragraph of one publication. Against a publication as a</w:t>
      </w:r>
      <w:r>
        <w:t xml:space="preserve"> </w:t>
      </w:r>
      <w:r>
        <w:t xml:space="preserve">whole it is unavailable, in either direction: not "aligned with SP 800-53", which claims a catalog of</w:t>
      </w:r>
      <w:r>
        <w:t xml:space="preserve"> </w:t>
      </w:r>
      <w:r>
        <w:t xml:space="preserve">a thousand controls nobody assessed, and not "built to SP 800-218", which is the same defect wearing</w:t>
      </w:r>
      <w:r>
        <w:t xml:space="preserve"> </w:t>
      </w:r>
      <w:r>
        <w:t xml:space="preserve">the register's own vocabulary and is close to the wording a federal secure-software attestation turns</w:t>
      </w:r>
      <w:r>
        <w:t xml:space="preserve"> </w:t>
      </w:r>
      <w:r>
        <w:t xml:space="preserve">on. Naming four publications on this page does not enlarge what may be claimed at the</w:t>
      </w:r>
      <w:r>
        <w:t xml:space="preserve"> </w:t>
      </w:r>
      <w:r>
        <w:t xml:space="preserve">bottom of it; the reasoning is in</w:t>
      </w:r>
      <w:r>
        <w:t xml:space="preserve"> </w:t>
      </w:r>
      <w:r>
        <w:rPr>
          <w:i/>
          <w:iCs/>
        </w:rPr>
        <w:t xml:space="preserve">Naming these sources is not a conformance claim</w:t>
      </w:r>
      <w:r>
        <w:t xml:space="preserve"> </w:t>
      </w:r>
      <w:r>
        <w:t xml:space="preserve">and is not</w:t>
      </w:r>
      <w:r>
        <w:t xml:space="preserve"> </w:t>
      </w:r>
      <w:r>
        <w:t xml:space="preserve">repeated here.</w:t>
      </w:r>
    </w:p>
    <w:p>
      <w:pPr>
        <w:pStyle w:val="BodyText"/>
      </w:pPr>
      <w:r>
        <w:t xml:space="preserve">The general rule, with the honesty-state tagging and the claims register that goes with it, is in</w:t>
      </w:r>
      <w:r>
        <w:t xml:space="preserve"> </w:t>
      </w:r>
      <w:hyperlink r:id="rId24">
        <w:r>
          <w:rPr>
            <w:rStyle w:val="Hyperlink"/>
          </w:rPr>
          <w:t xml:space="preserve">CI and standards</w:t>
        </w:r>
      </w:hyperlink>
      <w:r>
        <w:t xml:space="preserve">. Four things are specific to a security claim:</w:t>
      </w:r>
    </w:p>
    <w:p>
      <w:pPr>
        <w:pStyle w:val="Compact"/>
        <w:numPr>
          <w:ilvl w:val="0"/>
          <w:numId w:val="1019"/>
        </w:numPr>
      </w:pPr>
      <w:r>
        <w:t xml:space="preserve">State the attestation posture positively, with its scope named. "This project attests that it</w:t>
      </w:r>
      <w:r>
        <w:t xml:space="preserve"> </w:t>
      </w:r>
      <w:r>
        <w:t xml:space="preserve">builds under this standard" is a claim you can support. "The output is independently audited" is</w:t>
      </w:r>
      <w:r>
        <w:t xml:space="preserve"> </w:t>
      </w:r>
      <w:r>
        <w:t xml:space="preserve">not, unless it is.</w:t>
      </w:r>
    </w:p>
    <w:p>
      <w:pPr>
        <w:pStyle w:val="Compact"/>
        <w:numPr>
          <w:ilvl w:val="0"/>
          <w:numId w:val="1019"/>
        </w:numPr>
      </w:pPr>
      <w:r>
        <w:t xml:space="preserve">Say what the standard does not confer, structurally and near the top. It confers no compliance,</w:t>
      </w:r>
      <w:r>
        <w:t xml:space="preserve"> </w:t>
      </w:r>
      <w:r>
        <w:t xml:space="preserve">certification, or fitness on the product, on you, or on an adopter, and it does not substitute for</w:t>
      </w:r>
      <w:r>
        <w:t xml:space="preserve"> </w:t>
      </w:r>
      <w:r>
        <w:t xml:space="preserve">an adopter's own assessment. That is a statement about scope, not a disclaimer.</w:t>
      </w:r>
    </w:p>
    <w:p>
      <w:pPr>
        <w:pStyle w:val="Compact"/>
        <w:numPr>
          <w:ilvl w:val="0"/>
          <w:numId w:val="1019"/>
        </w:numPr>
      </w:pPr>
      <w:r>
        <w:t xml:space="preserve">Where you borrow discipline from a regime you are not subject to, say so. Adopted by analogy and</w:t>
      </w:r>
      <w:r>
        <w:t xml:space="preserve"> </w:t>
      </w:r>
      <w:r>
        <w:t xml:space="preserve">voluntarily; producing the artifacts confers nothing.</w:t>
      </w:r>
    </w:p>
    <w:p>
      <w:pPr>
        <w:pStyle w:val="Compact"/>
        <w:numPr>
          <w:ilvl w:val="0"/>
          <w:numId w:val="1019"/>
        </w:numPr>
      </w:pPr>
      <w:r>
        <w:t xml:space="preserve">Never restate another document's assurance-level target, count, or score. Two documents that</w:t>
      </w:r>
      <w:r>
        <w:t xml:space="preserve"> </w:t>
      </w:r>
      <w:r>
        <w:t xml:space="preserve">each restate the other's target will eventually disagree, and both will look authoritative. Name the</w:t>
      </w:r>
      <w:r>
        <w:t xml:space="preserve"> </w:t>
      </w:r>
      <w:r>
        <w:t xml:space="preserve">record of record and link to it, so there is exactly one place that can be wrong.</w:t>
      </w:r>
    </w:p>
    <w:p>
      <w:pPr>
        <w:pStyle w:val="FirstParagraph"/>
      </w:pPr>
      <w:r>
        <w:t xml:space="preserve">That last one is the state-it-once rule applied to the one class of fact where being wrong is most</w:t>
      </w:r>
      <w:r>
        <w:t xml:space="preserve"> </w:t>
      </w:r>
      <w:r>
        <w:t xml:space="preserve">expensive.</w:t>
      </w:r>
    </w:p>
    <w:p>
      <w:pPr>
        <w:pStyle w:val="BodyText"/>
      </w:pPr>
      <w:r>
        <w:t xml:space="preserve">Cite a proposed requirement as proposed. Where a standard or regulation is under revision, a draft</w:t>
      </w:r>
      <w:r>
        <w:t xml:space="preserve"> </w:t>
      </w:r>
      <w:r>
        <w:t xml:space="preserve">that has not been finalised is never a current requirement, and the frame is "if finalised" every time</w:t>
      </w:r>
      <w:r>
        <w:t xml:space="preserve"> </w:t>
      </w:r>
      <w:r>
        <w:t xml:space="preserve">it appears. Record the date you last checked its status -- that check is what goes stale, not the</w:t>
      </w:r>
      <w:r>
        <w:t xml:space="preserve"> </w:t>
      </w:r>
      <w:r>
        <w:t xml:space="preserve">citation.</w:t>
      </w:r>
    </w:p>
    <w:p>
      <w:r>
        <w:pict>
          <v:rect style="width:0;height:1.5pt" o:hralign="center" o:hrstd="t" o:hr="t"/>
        </w:pict>
      </w:r>
    </w:p>
    <w:bookmarkEnd w:id="65"/>
    <w:bookmarkStart w:id="66" w:name="in-one-table"/>
    <w:p>
      <w:pPr>
        <w:pStyle w:val="Heading2"/>
      </w:pPr>
      <w:r>
        <w:t xml:space="preserve">In one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Rule</w:t>
            </w:r>
          </w:p>
        </w:tc>
      </w:tr>
      <w:tr>
        <w:tc>
          <w:tcPr/>
          <w:p>
            <w:pPr>
              <w:pStyle w:val="Compact"/>
            </w:pPr>
            <w:r>
              <w:t xml:space="preserve">Starting</w:t>
            </w:r>
          </w:p>
        </w:tc>
        <w:tc>
          <w:tcPr/>
          <w:p>
            <w:pPr>
              <w:pStyle w:val="Compact"/>
            </w:pPr>
            <w:r>
              <w:t xml:space="preserve">Write the producer-versus-operator split before claiming any control</w:t>
            </w:r>
          </w:p>
        </w:tc>
      </w:tr>
      <w:tr>
        <w:tc>
          <w:tcPr/>
          <w:p>
            <w:pPr>
              <w:pStyle w:val="Compact"/>
            </w:pPr>
            <w:r>
              <w:t xml:space="preserve">Starting</w:t>
            </w:r>
          </w:p>
        </w:tc>
        <w:tc>
          <w:tcPr/>
          <w:p>
            <w:pPr>
              <w:pStyle w:val="Compact"/>
            </w:pPr>
            <w:r>
              <w:t xml:space="preserve">Define restricted data once, as a table of classes and every place each one rests</w:t>
            </w:r>
          </w:p>
        </w:tc>
      </w:tr>
      <w:tr>
        <w:tc>
          <w:tcPr/>
          <w:p>
            <w:pPr>
              <w:pStyle w:val="Compact"/>
            </w:pPr>
            <w:r>
              <w:t xml:space="preserve">Starting</w:t>
            </w:r>
          </w:p>
        </w:tc>
        <w:tc>
          <w:tcPr/>
          <w:p>
            <w:pPr>
              <w:pStyle w:val="Compact"/>
            </w:pPr>
            <w:r>
              <w:t xml:space="preserve">List the services neither column owns, and what fails if one goes away</w:t>
            </w:r>
          </w:p>
        </w:tc>
      </w:tr>
      <w:tr>
        <w:tc>
          <w:tcPr/>
          <w:p>
            <w:pPr>
              <w:pStyle w:val="Compact"/>
            </w:pPr>
            <w:r>
              <w:t xml:space="preserve">Designing</w:t>
            </w:r>
          </w:p>
        </w:tc>
        <w:tc>
          <w:tcPr/>
          <w:p>
            <w:pPr>
              <w:pStyle w:val="Compact"/>
            </w:pPr>
            <w:r>
              <w:t xml:space="preserve">Threat model each trust boundary before the build; name a mitigation for each way in</w:t>
            </w:r>
          </w:p>
        </w:tc>
      </w:tr>
      <w:tr>
        <w:tc>
          <w:tcPr/>
          <w:p>
            <w:pPr>
              <w:pStyle w:val="Compact"/>
            </w:pPr>
            <w:r>
              <w:t xml:space="preserve">Designing</w:t>
            </w:r>
          </w:p>
        </w:tc>
        <w:tc>
          <w:tcPr/>
          <w:p>
            <w:pPr>
              <w:pStyle w:val="Compact"/>
            </w:pPr>
            <w:r>
              <w:t xml:space="preserve">Draw the boundary list; a diagram with no boundaries marked on it is not a security artifact</w:t>
            </w:r>
          </w:p>
        </w:tc>
      </w:tr>
      <w:tr>
        <w:tc>
          <w:tcPr/>
          <w:p>
            <w:pPr>
              <w:pStyle w:val="Compact"/>
            </w:pPr>
            <w:r>
              <w:t xml:space="preserve">Designing</w:t>
            </w:r>
          </w:p>
        </w:tc>
        <w:tc>
          <w:tcPr/>
          <w:p>
            <w:pPr>
              <w:pStyle w:val="Compact"/>
            </w:pPr>
            <w:r>
              <w:t xml:space="preserve">Bound resource consumption per boundary; an unbounded boundary is a finding</w:t>
            </w:r>
          </w:p>
        </w:tc>
      </w:tr>
      <w:tr>
        <w:tc>
          <w:tcPr/>
          <w:p>
            <w:pPr>
              <w:pStyle w:val="Compact"/>
            </w:pPr>
            <w:r>
              <w:t xml:space="preserve">Designing</w:t>
            </w:r>
          </w:p>
        </w:tc>
        <w:tc>
          <w:tcPr/>
          <w:p>
            <w:pPr>
              <w:pStyle w:val="Compact"/>
            </w:pPr>
            <w:r>
              <w:t xml:space="preserve">At an execution boundary, check every caller reaches it, not the documented one</w:t>
            </w:r>
          </w:p>
        </w:tc>
      </w:tr>
      <w:tr>
        <w:tc>
          <w:tcPr/>
          <w:p>
            <w:pPr>
              <w:pStyle w:val="Compact"/>
            </w:pPr>
            <w:r>
              <w:t xml:space="preserve">Coding</w:t>
            </w:r>
          </w:p>
        </w:tc>
        <w:tc>
          <w:tcPr/>
          <w:p>
            <w:pPr>
              <w:pStyle w:val="Compact"/>
            </w:pPr>
            <w:r>
              <w:t xml:space="preserve">Validate at ingress, parameterise every query, confine every path, fail closed</w:t>
            </w:r>
          </w:p>
        </w:tc>
      </w:tr>
      <w:tr>
        <w:tc>
          <w:tcPr/>
          <w:p>
            <w:pPr>
              <w:pStyle w:val="Compact"/>
            </w:pPr>
            <w:r>
              <w:t xml:space="preserve">Reviewing</w:t>
            </w:r>
          </w:p>
        </w:tc>
        <w:tc>
          <w:tcPr/>
          <w:p>
            <w:pPr>
              <w:pStyle w:val="Compact"/>
            </w:pPr>
            <w:r>
              <w:t xml:space="preserve">Self-review is a documented deviation, not a satisfied control</w:t>
            </w:r>
          </w:p>
        </w:tc>
      </w:tr>
      <w:tr>
        <w:tc>
          <w:tcPr/>
          <w:p>
            <w:pPr>
              <w:pStyle w:val="Compact"/>
            </w:pPr>
            <w:r>
              <w:t xml:space="preserve">Reviewing</w:t>
            </w:r>
          </w:p>
        </w:tc>
        <w:tc>
          <w:tcPr/>
          <w:p>
            <w:pPr>
              <w:pStyle w:val="Compact"/>
            </w:pPr>
            <w:r>
              <w:t xml:space="preserve">Name the compensating set and the event that ends the deviation</w:t>
            </w:r>
          </w:p>
        </w:tc>
      </w:tr>
      <w:tr>
        <w:tc>
          <w:tcPr/>
          <w:p>
            <w:pPr>
              <w:pStyle w:val="Compact"/>
            </w:pPr>
            <w:r>
              <w:t xml:space="preserve">Gating</w:t>
            </w:r>
          </w:p>
        </w:tc>
        <w:tc>
          <w:tcPr/>
          <w:p>
            <w:pPr>
              <w:pStyle w:val="Compact"/>
            </w:pPr>
            <w:r>
              <w:t xml:space="preserve">Coverage is the blocking checks that run on the change, not the tool count</w:t>
            </w:r>
          </w:p>
        </w:tc>
      </w:tr>
      <w:tr>
        <w:tc>
          <w:tcPr/>
          <w:p>
            <w:pPr>
              <w:pStyle w:val="Compact"/>
            </w:pPr>
            <w:r>
              <w:t xml:space="preserve">Gating</w:t>
            </w:r>
          </w:p>
        </w:tc>
        <w:tc>
          <w:tcPr/>
          <w:p>
            <w:pPr>
              <w:pStyle w:val="Compact"/>
            </w:pPr>
            <w:r>
              <w:t xml:space="preserve">A clean run is a start condition for red-on-regression, never a certificate</w:t>
            </w:r>
          </w:p>
        </w:tc>
      </w:tr>
      <w:tr>
        <w:tc>
          <w:tcPr/>
          <w:p>
            <w:pPr>
              <w:pStyle w:val="Compact"/>
            </w:pPr>
            <w:r>
              <w:t xml:space="preserve">Gating</w:t>
            </w:r>
          </w:p>
        </w:tc>
        <w:tc>
          <w:tcPr/>
          <w:p>
            <w:pPr>
              <w:pStyle w:val="Compact"/>
            </w:pPr>
            <w:r>
              <w:t xml:space="preserve">Fire the failure class at the gate before crediting its green</w:t>
            </w:r>
          </w:p>
        </w:tc>
      </w:tr>
      <w:tr>
        <w:tc>
          <w:tcPr/>
          <w:p>
            <w:pPr>
              <w:pStyle w:val="Compact"/>
            </w:pPr>
            <w:r>
              <w:t xml:space="preserve">Gating</w:t>
            </w:r>
          </w:p>
        </w:tc>
        <w:tc>
          <w:tcPr/>
          <w:p>
            <w:pPr>
              <w:pStyle w:val="Compact"/>
            </w:pPr>
            <w:r>
              <w:t xml:space="preserve">Trigger a dynamic pass on an event; when no trigger fires, record that nothing ran</w:t>
            </w:r>
          </w:p>
        </w:tc>
      </w:tr>
      <w:tr>
        <w:tc>
          <w:tcPr/>
          <w:p>
            <w:pPr>
              <w:pStyle w:val="Compact"/>
            </w:pPr>
            <w:r>
              <w:t xml:space="preserve">Gating</w:t>
            </w:r>
          </w:p>
        </w:tc>
        <w:tc>
          <w:tcPr/>
          <w:p>
            <w:pPr>
              <w:pStyle w:val="Compact"/>
            </w:pPr>
            <w:r>
              <w:t xml:space="preserve">Encode a control as one shared check across sibling paths</w:t>
            </w:r>
          </w:p>
        </w:tc>
      </w:tr>
      <w:tr>
        <w:tc>
          <w:tcPr/>
          <w:p>
            <w:pPr>
              <w:pStyle w:val="Compact"/>
            </w:pPr>
            <w:r>
              <w:t xml:space="preserve">Gating</w:t>
            </w:r>
          </w:p>
        </w:tc>
        <w:tc>
          <w:tcPr/>
          <w:p>
            <w:pPr>
              <w:pStyle w:val="Compact"/>
            </w:pPr>
            <w:r>
              <w:t xml:space="preserve">Record rigor and scope separately per blocking check; one green hides both</w:t>
            </w:r>
          </w:p>
        </w:tc>
      </w:tr>
      <w:tr>
        <w:tc>
          <w:tcPr/>
          <w:p>
            <w:pPr>
              <w:pStyle w:val="Compact"/>
            </w:pPr>
            <w:r>
              <w:t xml:space="preserve">Configuring</w:t>
            </w:r>
          </w:p>
        </w:tc>
        <w:tc>
          <w:tcPr/>
          <w:p>
            <w:pPr>
              <w:pStyle w:val="Compact"/>
            </w:pPr>
            <w:r>
              <w:t xml:space="preserve">Secure by default; every insecure posture is a named, audited, fail-closed opt-in</w:t>
            </w:r>
          </w:p>
        </w:tc>
      </w:tr>
      <w:tr>
        <w:tc>
          <w:tcPr/>
          <w:p>
            <w:pPr>
              <w:pStyle w:val="Compact"/>
            </w:pPr>
            <w:r>
              <w:t xml:space="preserve">Configuring</w:t>
            </w:r>
          </w:p>
        </w:tc>
        <w:tc>
          <w:tcPr/>
          <w:p>
            <w:pPr>
              <w:pStyle w:val="Compact"/>
            </w:pPr>
            <w:r>
              <w:t xml:space="preserve">Off-by-default and fail-closed are different states -- describe them apart</w:t>
            </w:r>
          </w:p>
        </w:tc>
      </w:tr>
      <w:tr>
        <w:tc>
          <w:tcPr/>
          <w:p>
            <w:pPr>
              <w:pStyle w:val="Compact"/>
            </w:pPr>
            <w:r>
              <w:t xml:space="preserve">Configuring</w:t>
            </w:r>
          </w:p>
        </w:tc>
        <w:tc>
          <w:tcPr/>
          <w:p>
            <w:pPr>
              <w:pStyle w:val="Compact"/>
            </w:pPr>
            <w:r>
              <w:t xml:space="preserve">Synthetic data outside production; live data raises the environment, not lowers the class</w:t>
            </w:r>
          </w:p>
        </w:tc>
      </w:tr>
      <w:tr>
        <w:tc>
          <w:tcPr/>
          <w:p>
            <w:pPr>
              <w:pStyle w:val="Compact"/>
            </w:pPr>
            <w:r>
              <w:t xml:space="preserve">Configuring</w:t>
            </w:r>
          </w:p>
        </w:tc>
        <w:tc>
          <w:tcPr/>
          <w:p>
            <w:pPr>
              <w:pStyle w:val="Compact"/>
            </w:pPr>
            <w:r>
              <w:t xml:space="preserve">Rate a collection by the highest class in it, never the average or per entry</w:t>
            </w:r>
          </w:p>
        </w:tc>
      </w:tr>
      <w:tr>
        <w:tc>
          <w:tcPr/>
          <w:p>
            <w:pPr>
              <w:pStyle w:val="Compact"/>
            </w:pPr>
            <w:r>
              <w:t xml:space="preserve">Authenticating</w:t>
            </w:r>
          </w:p>
        </w:tc>
        <w:tc>
          <w:tcPr/>
          <w:p>
            <w:pPr>
              <w:pStyle w:val="Compact"/>
            </w:pPr>
            <w:r>
              <w:t xml:space="preserve">Strongest mechanism the peer supports, recorded per connection</w:t>
            </w:r>
          </w:p>
        </w:tc>
      </w:tr>
      <w:tr>
        <w:tc>
          <w:tcPr/>
          <w:p>
            <w:pPr>
              <w:pStyle w:val="Compact"/>
            </w:pPr>
            <w:r>
              <w:t xml:space="preserve">Authenticating</w:t>
            </w:r>
          </w:p>
        </w:tc>
        <w:tc>
          <w:tcPr/>
          <w:p>
            <w:pPr>
              <w:pStyle w:val="Compact"/>
            </w:pPr>
            <w:r>
              <w:t xml:space="preserve">No long-lived secret in a file; no cleartext directory bind</w:t>
            </w:r>
          </w:p>
        </w:tc>
      </w:tr>
      <w:tr>
        <w:tc>
          <w:tcPr/>
          <w:p>
            <w:pPr>
              <w:pStyle w:val="Compact"/>
            </w:pPr>
            <w:r>
              <w:t xml:space="preserve">Logging</w:t>
            </w:r>
          </w:p>
        </w:tc>
        <w:tc>
          <w:tcPr/>
          <w:p>
            <w:pPr>
              <w:pStyle w:val="Compact"/>
            </w:pPr>
            <w:r>
              <w:t xml:space="preserve">Append-only, hash-chained, actor-attributed; no secrets or restricted data at info level</w:t>
            </w:r>
          </w:p>
        </w:tc>
      </w:tr>
      <w:tr>
        <w:tc>
          <w:tcPr/>
          <w:p>
            <w:pPr>
              <w:pStyle w:val="Compact"/>
            </w:pPr>
            <w:r>
              <w:t xml:space="preserve">Logging</w:t>
            </w:r>
          </w:p>
        </w:tc>
        <w:tc>
          <w:tcPr/>
          <w:p>
            <w:pPr>
              <w:pStyle w:val="Compact"/>
            </w:pPr>
            <w:r>
              <w:t xml:space="preserve">State what happens when the log cannot be written; a broken chain reads as tampering</w:t>
            </w:r>
          </w:p>
        </w:tc>
      </w:tr>
      <w:tr>
        <w:tc>
          <w:tcPr/>
          <w:p>
            <w:pPr>
              <w:pStyle w:val="Compact"/>
            </w:pPr>
            <w:r>
              <w:t xml:space="preserve">Logging</w:t>
            </w:r>
          </w:p>
        </w:tc>
        <w:tc>
          <w:tcPr/>
          <w:p>
            <w:pPr>
              <w:pStyle w:val="Compact"/>
            </w:pPr>
            <w:r>
              <w:t xml:space="preserve">Ship the query, export and chain-verify affordance; the review cadence is the operator's</w:t>
            </w:r>
          </w:p>
        </w:tc>
      </w:tr>
      <w:tr>
        <w:tc>
          <w:tcPr/>
          <w:p>
            <w:pPr>
              <w:pStyle w:val="Compact"/>
            </w:pPr>
            <w:r>
              <w:t xml:space="preserve">Releasing</w:t>
            </w:r>
          </w:p>
        </w:tc>
        <w:tc>
          <w:tcPr/>
          <w:p>
            <w:pPr>
              <w:pStyle w:val="Compact"/>
            </w:pPr>
            <w:r>
              <w:t xml:space="preserve">The release build runs on an ephemeral runner, never on a developer workstation</w:t>
            </w:r>
          </w:p>
        </w:tc>
      </w:tr>
      <w:tr>
        <w:tc>
          <w:tcPr/>
          <w:p>
            <w:pPr>
              <w:pStyle w:val="Compact"/>
            </w:pPr>
            <w:r>
              <w:t xml:space="preserve">Releasing</w:t>
            </w:r>
          </w:p>
        </w:tc>
        <w:tc>
          <w:tcPr/>
          <w:p>
            <w:pPr>
              <w:pStyle w:val="Compact"/>
            </w:pPr>
            <w:r>
              <w:t xml:space="preserve">Pin every action, image and tool by digest, and review the pinned set on a cadence</w:t>
            </w:r>
          </w:p>
        </w:tc>
      </w:tr>
      <w:tr>
        <w:tc>
          <w:tcPr/>
          <w:p>
            <w:pPr>
              <w:pStyle w:val="Compact"/>
            </w:pPr>
            <w:r>
              <w:t xml:space="preserve">Releasing</w:t>
            </w:r>
          </w:p>
        </w:tc>
        <w:tc>
          <w:tcPr/>
          <w:p>
            <w:pPr>
              <w:pStyle w:val="Compact"/>
            </w:pPr>
            <w:r>
              <w:t xml:space="preserve">Enumerate every principal that can write, administer or publish; review and prune it</w:t>
            </w:r>
          </w:p>
        </w:tc>
      </w:tr>
      <w:tr>
        <w:tc>
          <w:tcPr/>
          <w:p>
            <w:pPr>
              <w:pStyle w:val="Compact"/>
            </w:pPr>
            <w:r>
              <w:t xml:space="preserve">Releasing</w:t>
            </w:r>
          </w:p>
        </w:tc>
        <w:tc>
          <w:tcPr/>
          <w:p>
            <w:pPr>
              <w:pStyle w:val="Compact"/>
            </w:pPr>
            <w:r>
              <w:t xml:space="preserve">Short-lived workflow-bound publishing credentials, paired with an attestation over the digest</w:t>
            </w:r>
          </w:p>
        </w:tc>
      </w:tr>
      <w:tr>
        <w:tc>
          <w:tcPr/>
          <w:p>
            <w:pPr>
              <w:pStyle w:val="Compact"/>
            </w:pPr>
            <w:r>
              <w:t xml:space="preserve">Releasing</w:t>
            </w:r>
          </w:p>
        </w:tc>
        <w:tc>
          <w:tcPr/>
          <w:p>
            <w:pPr>
              <w:pStyle w:val="Compact"/>
            </w:pPr>
            <w:r>
              <w:t xml:space="preserve">Publish a signed digest manifest and document the offline verification path</w:t>
            </w:r>
          </w:p>
        </w:tc>
      </w:tr>
      <w:tr>
        <w:tc>
          <w:tcPr/>
          <w:p>
            <w:pPr>
              <w:pStyle w:val="Compact"/>
            </w:pPr>
            <w:r>
              <w:t xml:space="preserve">Releasing</w:t>
            </w:r>
          </w:p>
        </w:tc>
        <w:tc>
          <w:tcPr/>
          <w:p>
            <w:pPr>
              <w:pStyle w:val="Compact"/>
            </w:pPr>
            <w:r>
              <w:t xml:space="preserve">A component inventory answers "do we ship X" -- it is not tamper detection</w:t>
            </w:r>
          </w:p>
        </w:tc>
      </w:tr>
      <w:tr>
        <w:tc>
          <w:tcPr/>
          <w:p>
            <w:pPr>
              <w:pStyle w:val="Compact"/>
            </w:pPr>
            <w:r>
              <w:t xml:space="preserve">Releasing</w:t>
            </w:r>
          </w:p>
        </w:tc>
        <w:tc>
          <w:tcPr/>
          <w:p>
            <w:pPr>
              <w:pStyle w:val="Compact"/>
            </w:pPr>
            <w:r>
              <w:t xml:space="preserve">Archive the artifact, its build inputs, and its inventory together</w:t>
            </w:r>
          </w:p>
        </w:tc>
      </w:tr>
      <w:tr>
        <w:tc>
          <w:tcPr/>
          <w:p>
            <w:pPr>
              <w:pStyle w:val="Compact"/>
            </w:pPr>
            <w:r>
              <w:t xml:space="preserve">Releasing</w:t>
            </w:r>
          </w:p>
        </w:tc>
        <w:tc>
          <w:tcPr/>
          <w:p>
            <w:pPr>
              <w:pStyle w:val="Compact"/>
            </w:pPr>
            <w:r>
              <w:t xml:space="preserve">Verify the published artifact after release; what you built is not what shipped</w:t>
            </w:r>
          </w:p>
        </w:tc>
      </w:tr>
      <w:tr>
        <w:tc>
          <w:tcPr/>
          <w:p>
            <w:pPr>
              <w:pStyle w:val="Compact"/>
            </w:pPr>
            <w:r>
              <w:t xml:space="preserve">Releasing</w:t>
            </w:r>
          </w:p>
        </w:tc>
        <w:tc>
          <w:tcPr/>
          <w:p>
            <w:pPr>
              <w:pStyle w:val="Compact"/>
            </w:pPr>
            <w:r>
              <w:t xml:space="preserve">Back up the evidence archive off-platform, and restore one release to prove it</w:t>
            </w:r>
          </w:p>
        </w:tc>
      </w:tr>
      <w:tr>
        <w:tc>
          <w:tcPr/>
          <w:p>
            <w:pPr>
              <w:pStyle w:val="Compact"/>
            </w:pPr>
            <w:r>
              <w:t xml:space="preserve">Hardening</w:t>
            </w:r>
          </w:p>
        </w:tc>
        <w:tc>
          <w:tcPr/>
          <w:p>
            <w:pPr>
              <w:pStyle w:val="Compact"/>
            </w:pPr>
            <w:r>
              <w:t xml:space="preserve">An in-process integrity check detects accidents, never a privileged attacker</w:t>
            </w:r>
          </w:p>
        </w:tc>
      </w:tr>
      <w:tr>
        <w:tc>
          <w:tcPr/>
          <w:p>
            <w:pPr>
              <w:pStyle w:val="Compact"/>
            </w:pPr>
            <w:r>
              <w:t xml:space="preserve">Hardening</w:t>
            </w:r>
          </w:p>
        </w:tc>
        <w:tc>
          <w:tcPr/>
          <w:p>
            <w:pPr>
              <w:pStyle w:val="Compact"/>
            </w:pPr>
            <w:r>
              <w:t xml:space="preserve">Operator-side controls are documented and recommended, never claimed</w:t>
            </w:r>
          </w:p>
        </w:tc>
      </w:tr>
      <w:tr>
        <w:tc>
          <w:tcPr/>
          <w:p>
            <w:pPr>
              <w:pStyle w:val="Compact"/>
            </w:pPr>
            <w:r>
              <w:t xml:space="preserve">Hardening</w:t>
            </w:r>
          </w:p>
        </w:tc>
        <w:tc>
          <w:tcPr/>
          <w:p>
            <w:pPr>
              <w:pStyle w:val="Compact"/>
            </w:pPr>
            <w:r>
              <w:t xml:space="preserve">Roll out a blocking verification control in audit mode first</w:t>
            </w:r>
          </w:p>
        </w:tc>
      </w:tr>
      <w:tr>
        <w:tc>
          <w:tcPr/>
          <w:p>
            <w:pPr>
              <w:pStyle w:val="Compact"/>
            </w:pPr>
            <w:r>
              <w:t xml:space="preserve">Responding</w:t>
            </w:r>
          </w:p>
        </w:tc>
        <w:tc>
          <w:tcPr/>
          <w:p>
            <w:pPr>
              <w:pStyle w:val="Compact"/>
            </w:pPr>
            <w:r>
              <w:t xml:space="preserve">Rehearse the response program end to end; state where each clock starts</w:t>
            </w:r>
          </w:p>
        </w:tc>
      </w:tr>
      <w:tr>
        <w:tc>
          <w:tcPr/>
          <w:p>
            <w:pPr>
              <w:pStyle w:val="Compact"/>
            </w:pPr>
            <w:r>
              <w:t xml:space="preserve">Responding</w:t>
            </w:r>
          </w:p>
        </w:tc>
        <w:tc>
          <w:tcPr/>
          <w:p>
            <w:pPr>
              <w:pStyle w:val="Compact"/>
            </w:pPr>
            <w:r>
              <w:t xml:space="preserve">Publish the intake, the bands and the clock start; an unmonitored address is not a channel</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r>
      <w:tr>
        <w:tc>
          <w:tcPr/>
          <w:p>
            <w:pPr>
              <w:pStyle w:val="Compact"/>
            </w:pPr>
            <w:r>
              <w:t xml:space="preserve">Responding</w:t>
            </w:r>
          </w:p>
        </w:tc>
        <w:tc>
          <w:tcPr/>
          <w:p>
            <w:pPr>
              <w:pStyle w:val="Compact"/>
            </w:pPr>
            <w:r>
              <w:t xml:space="preserve">A finding closes when its own check goes green on the fix commit, not when the fix merges</w:t>
            </w:r>
          </w:p>
        </w:tc>
      </w:tr>
      <w:tr>
        <w:tc>
          <w:tcPr/>
          <w:p>
            <w:pPr>
              <w:pStyle w:val="Compact"/>
            </w:pPr>
            <w:r>
              <w:t xml:space="preserve">Responding</w:t>
            </w:r>
          </w:p>
        </w:tc>
        <w:tc>
          <w:tcPr/>
          <w:p>
            <w:pPr>
              <w:pStyle w:val="Compact"/>
            </w:pPr>
            <w:r>
              <w:t xml:space="preserve">The confirming run is a mirror copy; a suppression is a suppression, never a closure</w:t>
            </w:r>
          </w:p>
        </w:tc>
      </w:tr>
      <w:tr>
        <w:tc>
          <w:tcPr/>
          <w:p>
            <w:pPr>
              <w:pStyle w:val="Compact"/>
            </w:pPr>
            <w:r>
              <w:t xml:space="preserve">Responding</w:t>
            </w:r>
          </w:p>
        </w:tc>
        <w:tc>
          <w:tcPr/>
          <w:p>
            <w:pPr>
              <w:pStyle w:val="Compact"/>
            </w:pPr>
            <w:r>
              <w:t xml:space="preserve">Measure time-to-remediate against the windows you set, then label them project-set</w:t>
            </w:r>
          </w:p>
        </w:tc>
      </w:tr>
      <w:tr>
        <w:tc>
          <w:tcPr/>
          <w:p>
            <w:pPr>
              <w:pStyle w:val="Compact"/>
            </w:pPr>
            <w:r>
              <w:t xml:space="preserve">Accepting risk</w:t>
            </w:r>
          </w:p>
        </w:tc>
        <w:tc>
          <w:tcPr/>
          <w:p>
            <w:pPr>
              <w:pStyle w:val="Compact"/>
            </w:pPr>
            <w:r>
              <w:t xml:space="preserve">Dated and signed, with a trigger that voids it. Unsigned is an open gap</w:t>
            </w:r>
          </w:p>
        </w:tc>
      </w:tr>
      <w:tr>
        <w:tc>
          <w:tcPr/>
          <w:p>
            <w:pPr>
              <w:pStyle w:val="Compact"/>
            </w:pPr>
            <w:r>
              <w:t xml:space="preserve">Accepting risk</w:t>
            </w:r>
          </w:p>
        </w:tc>
        <w:tc>
          <w:tcPr/>
          <w:p>
            <w:pPr>
              <w:pStyle w:val="Compact"/>
            </w:pPr>
            <w:r>
              <w:t xml:space="preserve">Publish the rule, not the inventory of what is currently absent</w:t>
            </w:r>
          </w:p>
        </w:tc>
      </w:tr>
      <w:tr>
        <w:tc>
          <w:tcPr/>
          <w:p>
            <w:pPr>
              <w:pStyle w:val="Compact"/>
            </w:pPr>
            <w:r>
              <w:t xml:space="preserve">Re-evaluating</w:t>
            </w:r>
          </w:p>
        </w:tc>
        <w:tc>
          <w:tcPr/>
          <w:p>
            <w:pPr>
              <w:pStyle w:val="Compact"/>
            </w:pPr>
            <w:r>
              <w:t xml:space="preserve">Four items on a stated cadence; hold it to four or nobody runs it</w:t>
            </w:r>
          </w:p>
        </w:tc>
      </w:tr>
      <w:tr>
        <w:tc>
          <w:tcPr/>
          <w:p>
            <w:pPr>
              <w:pStyle w:val="Compact"/>
            </w:pPr>
            <w:r>
              <w:t xml:space="preserve">Re-evaluating</w:t>
            </w:r>
          </w:p>
        </w:tc>
        <w:tc>
          <w:tcPr/>
          <w:p>
            <w:pPr>
              <w:pStyle w:val="Compact"/>
            </w:pPr>
            <w:r>
              <w:t xml:space="preserve">Event-trigger the data-class table instead of adding a fifth calendar item</w:t>
            </w:r>
          </w:p>
        </w:tc>
      </w:tr>
      <w:tr>
        <w:tc>
          <w:tcPr/>
          <w:p>
            <w:pPr>
              <w:pStyle w:val="Compact"/>
            </w:pPr>
            <w:r>
              <w:t xml:space="preserve">Verifying</w:t>
            </w:r>
          </w:p>
        </w:tc>
        <w:tc>
          <w:tcPr/>
          <w:p>
            <w:pPr>
              <w:pStyle w:val="Compact"/>
            </w:pPr>
            <w:r>
              <w:t xml:space="preserve">Scope an external engagement in writing, countersigned and approved before work starts</w:t>
            </w:r>
          </w:p>
        </w:tc>
      </w:tr>
      <w:tr>
        <w:tc>
          <w:tcPr/>
          <w:p>
            <w:pPr>
              <w:pStyle w:val="Compact"/>
            </w:pPr>
            <w:r>
              <w:t xml:space="preserve">Shipping</w:t>
            </w:r>
          </w:p>
        </w:tc>
        <w:tc>
          <w:tcPr/>
          <w:p>
            <w:pPr>
              <w:pStyle w:val="Compact"/>
            </w:pPr>
            <w:r>
              <w:t xml:space="preserve">The gate is a list with a defined failure mode, and no single row is the gate</w:t>
            </w:r>
          </w:p>
        </w:tc>
      </w:tr>
      <w:tr>
        <w:tc>
          <w:tcPr/>
          <w:p>
            <w:pPr>
              <w:pStyle w:val="Compact"/>
            </w:pPr>
            <w:r>
              <w:t xml:space="preserve">Shipping</w:t>
            </w:r>
          </w:p>
        </w:tc>
        <w:tc>
          <w:tcPr/>
          <w:p>
            <w:pPr>
              <w:pStyle w:val="Compact"/>
            </w:pPr>
            <w:r>
              <w:t xml:space="preserve">Confirm the control plane -- present, blocking, green on this commit -- before reading code</w:t>
            </w:r>
          </w:p>
        </w:tc>
      </w:tr>
      <w:tr>
        <w:tc>
          <w:tcPr/>
          <w:p>
            <w:pPr>
              <w:pStyle w:val="Compact"/>
            </w:pPr>
            <w:r>
              <w:t xml:space="preserve">Claiming</w:t>
            </w:r>
          </w:p>
        </w:tc>
        <w:tc>
          <w:tcPr/>
          <w:p>
            <w:pPr>
              <w:pStyle w:val="Compact"/>
            </w:pPr>
            <w:r>
              <w:t xml:space="preserve">Built to, aligned with a named control, self-assessed against -- of your own process, never of a cited publication</w:t>
            </w:r>
          </w:p>
        </w:tc>
      </w:tr>
      <w:tr>
        <w:tc>
          <w:tcPr/>
          <w:p>
            <w:pPr>
              <w:pStyle w:val="Compact"/>
            </w:pPr>
            <w:r>
              <w:t xml:space="preserve">Claiming</w:t>
            </w:r>
          </w:p>
        </w:tc>
        <w:tc>
          <w:tcPr/>
          <w:p>
            <w:pPr>
              <w:pStyle w:val="Compact"/>
            </w:pPr>
            <w:r>
              <w:t xml:space="preserve">Never certified, and never aligned with a publication as a whole</w:t>
            </w:r>
          </w:p>
        </w:tc>
      </w:tr>
      <w:tr>
        <w:tc>
          <w:tcPr/>
          <w:p>
            <w:pPr>
              <w:pStyle w:val="Compact"/>
            </w:pPr>
            <w:r>
              <w:t xml:space="preserve">Claiming</w:t>
            </w:r>
          </w:p>
        </w:tc>
        <w:tc>
          <w:tcPr/>
          <w:p>
            <w:pPr>
              <w:pStyle w:val="Compact"/>
            </w:pPr>
            <w:r>
              <w:t xml:space="preserve">Never restate another document's target or score; link to the record of record</w:t>
            </w:r>
          </w:p>
        </w:tc>
      </w:tr>
    </w:tbl>
    <w:p>
      <w:r>
        <w:pict>
          <v:rect style="width:0;height:1.5pt" o:hralign="center" o:hrstd="t" o:hr="t"/>
        </w:pict>
      </w:r>
    </w:p>
    <w:bookmarkEnd w:id="66"/>
    <w:bookmarkStart w:id="67" w:name="adapting-this-to-your-project"/>
    <w:p>
      <w:pPr>
        <w:pStyle w:val="Heading2"/>
      </w:pPr>
      <w:r>
        <w:t xml:space="preserve">Adapting this to your project</w:t>
      </w:r>
    </w:p>
    <w:p>
      <w:pPr>
        <w:pStyle w:val="FirstParagraph"/>
      </w:pPr>
      <w:r>
        <w:t xml:space="preserve">Change freely:</w:t>
      </w:r>
    </w:p>
    <w:p>
      <w:pPr>
        <w:pStyle w:val="Compact"/>
        <w:numPr>
          <w:ilvl w:val="0"/>
          <w:numId w:val="1020"/>
        </w:numPr>
      </w:pPr>
      <w:r>
        <w:t xml:space="preserve">The section set. 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leaving an empty heading</w:t>
      </w:r>
      <w:r>
        <w:t xml:space="preserve"> </w:t>
      </w:r>
      <w:r>
        <w:t xml:space="preserve">that reads as an unowned control.</w:t>
      </w:r>
    </w:p>
    <w:p>
      <w:pPr>
        <w:pStyle w:val="Compact"/>
        <w:numPr>
          <w:ilvl w:val="0"/>
          <w:numId w:val="1020"/>
        </w:numPr>
      </w:pPr>
      <w:r>
        <w:t xml:space="preserve">The authentication hierarchy. It is ordered by what a peer system can support, and yours will</w:t>
      </w:r>
      <w:r>
        <w:t xml:space="preserve"> </w:t>
      </w:r>
      <w:r>
        <w:t xml:space="preserve">differ. Keep the property -- strongest available, recorded per connection, weak ones as an explicit</w:t>
      </w:r>
      <w:r>
        <w:t xml:space="preserve"> </w:t>
      </w:r>
      <w:r>
        <w:t xml:space="preserve">short list -- and replace the mechanisms.</w:t>
      </w:r>
    </w:p>
    <w:p>
      <w:pPr>
        <w:pStyle w:val="Compact"/>
        <w:numPr>
          <w:ilvl w:val="0"/>
          <w:numId w:val="1020"/>
        </w:numPr>
      </w:pPr>
      <w:r>
        <w:t xml:space="preserve">The remediation windows. There is no validated number. Set yours from your own capacity, record</w:t>
      </w:r>
      <w:r>
        <w:t xml:space="preserve"> </w:t>
      </w:r>
      <w:r>
        <w:t xml:space="preserve">them where a reporter can read them, and label them project-set.</w:t>
      </w:r>
    </w:p>
    <w:p>
      <w:pPr>
        <w:pStyle w:val="Compact"/>
        <w:numPr>
          <w:ilvl w:val="0"/>
          <w:numId w:val="1020"/>
        </w:numPr>
      </w:pPr>
      <w:r>
        <w:t xml:space="preserve">Everything platform-specific. Managed service identities, transparency logs, admission control</w:t>
      </w:r>
      <w:r>
        <w:t xml:space="preserve"> </w:t>
      </w:r>
      <w:r>
        <w:t xml:space="preserve">and integrity monitoring all have different names and different guarantees per platform. Name the</w:t>
      </w:r>
      <w:r>
        <w:t xml:space="preserve"> </w:t>
      </w:r>
      <w:r>
        <w:t xml:space="preserve">one you use rather than implying the pattern is universal.</w:t>
      </w:r>
    </w:p>
    <w:p>
      <w:pPr>
        <w:pStyle w:val="Compact"/>
        <w:numPr>
          <w:ilvl w:val="0"/>
          <w:numId w:val="1020"/>
        </w:numPr>
      </w:pPr>
      <w:r>
        <w:t xml:space="preserve">The adoption order. Sections 1, 5 and 13 are the cheapest and the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21"/>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21"/>
        </w:numPr>
      </w:pPr>
      <w:r>
        <w:rPr>
          <w:b/>
          <w:bCs/>
        </w:rPr>
        <w:t xml:space="preserve">The single definition of restricted data.</w:t>
      </w:r>
      <w:r>
        <w:t xml:space="preserve"> </w:t>
      </w:r>
      <w:r>
        <w:t xml:space="preserve">One table in</w:t>
      </w:r>
      <w:r>
        <w:t xml:space="preserve"> </w:t>
      </w:r>
      <w:hyperlink w:anchor="Xf8794b0126bc78285fb10778097a0695650e57d">
        <w:r>
          <w:rPr>
            <w:rStyle w:val="Hyperlink"/>
          </w:rPr>
          <w:t xml:space="preserve">section 1</w:t>
        </w:r>
      </w:hyperlink>
      <w:r>
        <w:t xml:space="preserve">, and every other rule points at</w:t>
      </w:r>
      <w:r>
        <w:t xml:space="preserve"> </w:t>
      </w:r>
      <w:r>
        <w:t xml:space="preserve">it rather than carrying its own adjective. Two terms for one idea is how a rule ends up enforced in</w:t>
      </w:r>
      <w:r>
        <w:t xml:space="preserve"> </w:t>
      </w:r>
      <w:r>
        <w:t xml:space="preserve">one section and quietly absent from its sibling, and the fix is to delete the second term rather</w:t>
      </w:r>
      <w:r>
        <w:t xml:space="preserve"> </w:t>
      </w:r>
      <w:r>
        <w:t xml:space="preserve">than to define it as well.</w:t>
      </w:r>
    </w:p>
    <w:p>
      <w:pPr>
        <w:pStyle w:val="Compact"/>
        <w:numPr>
          <w:ilvl w:val="0"/>
          <w:numId w:val="1021"/>
        </w:numPr>
      </w:pPr>
      <w:r>
        <w:rPr>
          <w:b/>
          <w:bCs/>
        </w:rPr>
        <w:t xml:space="preserve">The unwaivable set.</w:t>
      </w:r>
      <w:r>
        <w:t xml:space="preserve"> </w:t>
      </w:r>
      <w:r>
        <w:t xml:space="preserve">Static analysis, dependency analysis and secret scanning block, and an</w:t>
      </w:r>
      <w:r>
        <w:t xml:space="preserve"> </w:t>
      </w:r>
      <w:r>
        <w:t xml:space="preserve">author cannot waive their own change past them. The moment one becomes waivable it stops being a</w:t>
      </w:r>
      <w:r>
        <w:t xml:space="preserve"> </w:t>
      </w:r>
      <w:r>
        <w:t xml:space="preserve">control and becomes a preference.</w:t>
      </w:r>
    </w:p>
    <w:p>
      <w:pPr>
        <w:pStyle w:val="Compact"/>
        <w:numPr>
          <w:ilvl w:val="0"/>
          <w:numId w:val="1021"/>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fields or none of it counts.</w:t>
      </w:r>
    </w:p>
    <w:p>
      <w:pPr>
        <w:pStyle w:val="Compact"/>
        <w:numPr>
          <w:ilvl w:val="0"/>
          <w:numId w:val="1021"/>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21"/>
        </w:numPr>
      </w:pPr>
      <w:r>
        <w:rPr>
          <w:b/>
          <w:bCs/>
        </w:rPr>
        <w:t xml:space="preserve">The honest limit next to each control.</w:t>
      </w:r>
      <w:r>
        <w:t xml:space="preserve"> </w:t>
      </w:r>
      <w:r>
        <w:t xml:space="preserve">Each of these is a compensating control resting on a</w:t>
      </w:r>
      <w:r>
        <w:t xml:space="preserve"> </w:t>
      </w:r>
      <w:r>
        <w:t xml:space="preserve">false premise: an in-process integrity check that is described without the bootstrap-trust limit, a</w:t>
      </w:r>
      <w:r>
        <w:t xml:space="preserve"> </w:t>
      </w:r>
      <w:r>
        <w:t xml:space="preserve">component inventory described as tamper detection, or a self-assessment described as verification.</w:t>
      </w:r>
      <w:r>
        <w:t xml:space="preserve"> </w:t>
      </w:r>
      <w:r>
        <w:t xml:space="preserve">The next person to touch it reasons from your description rather than from the code.</w:t>
      </w:r>
    </w:p>
    <w:p>
      <w:r>
        <w:pict>
          <v:rect style="width:0;height:1.5pt" o:hralign="center" o:hrstd="t" o:hr="t"/>
        </w:pict>
      </w:r>
    </w:p>
    <w:bookmarkEnd w:id="67"/>
    <w:bookmarkStart w:id="70" w:name="where-the-rules-come-from"/>
    <w:p>
      <w:pPr>
        <w:pStyle w:val="Heading2"/>
      </w:pPr>
      <w:r>
        <w:t xml:space="preserve">Where the rules come from</w:t>
      </w:r>
    </w:p>
    <w:p>
      <w:pPr>
        <w:pStyle w:val="FirstParagraph"/>
      </w:pPr>
      <w:r>
        <w:t xml:space="preserve">Most of what this page states is this document's own reasoning about what a small producing team can</w:t>
      </w:r>
      <w:r>
        <w:t xml:space="preserve"> </w:t>
      </w:r>
      <w:r>
        <w:t xml:space="preserve">actually execute. Where a rule was borrowed, it was borrowed from, at least, these. Each</w:t>
      </w:r>
      <w:r>
        <w:t xml:space="preserve"> </w:t>
      </w:r>
      <w:r>
        <w:t xml:space="preserve">publication's status, its date, and the date that status was last checked are in</w:t>
      </w:r>
      <w:r>
        <w:t xml:space="preserve"> </w:t>
      </w:r>
      <w:hyperlink w:anchor="sources">
        <w:r>
          <w:rPr>
            <w:rStyle w:val="Hyperlink"/>
          </w:rPr>
          <w:t xml:space="preserve">Sources</w:t>
        </w:r>
      </w:hyperlink>
      <w:r>
        <w:t xml:space="preserve"> </w:t>
      </w:r>
      <w:r>
        <w:t xml:space="preserve">at the bottom, in one table and nowhere else, so a status re-check is a</w:t>
      </w:r>
      <w:r>
        <w:t xml:space="preserve"> </w:t>
      </w:r>
      <w:r>
        <w:t xml:space="preserve">single-table edit rather than a sweep.</w:t>
      </w:r>
    </w:p>
    <w:p>
      <w:pPr>
        <w:pStyle w:val="Compact"/>
        <w:numPr>
          <w:ilvl w:val="0"/>
          <w:numId w:val="1022"/>
        </w:numPr>
      </w:pPr>
      <w:r>
        <w:t xml:space="preserve">NIST SP 800-218 v1.1, Secure Software Development Framework (SSDF). The only one of these</w:t>
      </w:r>
      <w:r>
        <w:t xml:space="preserve"> </w:t>
      </w:r>
      <w:r>
        <w:t xml:space="preserve">written for a software producer rather than a system operator, so it is the outcome layer: it</w:t>
      </w:r>
      <w:r>
        <w:t xml:space="preserve"> </w:t>
      </w:r>
      <w:r>
        <w:t xml:space="preserve">states things like dynamic testing of the built artifact and a secure build environment as outcomes</w:t>
      </w:r>
      <w:r>
        <w:t xml:space="preserve"> </w:t>
      </w:r>
      <w:r>
        <w:t xml:space="preserve">the producer owns. No rule on this page carries an SSDF mark, and that is deliberate rather than an</w:t>
      </w:r>
      <w:r>
        <w:t xml:space="preserve"> </w:t>
      </w:r>
      <w:r>
        <w:t xml:space="preserve">oversight. Where a rule restates one of those outcomes, the specific text it restates was read in</w:t>
      </w:r>
      <w:r>
        <w:t xml:space="preserve"> </w:t>
      </w:r>
      <w:r>
        <w:t xml:space="preserve">an 800-53 control, and a mark points at the publication whose text was actually opened. The sources</w:t>
      </w:r>
      <w:r>
        <w:t xml:space="preserve"> </w:t>
      </w:r>
      <w:r>
        <w:t xml:space="preserve">table records which practices sit behind which rules.</w:t>
      </w:r>
    </w:p>
    <w:p>
      <w:pPr>
        <w:pStyle w:val="Compact"/>
        <w:numPr>
          <w:ilvl w:val="0"/>
          <w:numId w:val="1022"/>
        </w:numPr>
      </w:pPr>
      <w:r>
        <w:t xml:space="preserve">NIST SP 800-53 Rev. 5, Security and Privacy Controls for Information Systems and</w:t>
      </w:r>
      <w:r>
        <w:t xml:space="preserve"> </w:t>
      </w:r>
      <w:r>
        <w:t xml:space="preserve">Organizations, as maintained by Release 5.2.0 (2025-08-27). It supplies the specific, quotable</w:t>
      </w:r>
      <w:r>
        <w:t xml:space="preserve"> </w:t>
      </w:r>
      <w:r>
        <w:t xml:space="preserve">control text where the SSDF states only an outcome, cited by control identifier. Always name the</w:t>
      </w:r>
      <w:r>
        <w:t xml:space="preserve"> </w:t>
      </w:r>
      <w:r>
        <w:t xml:space="preserve">release -- see the version trap below.</w:t>
      </w:r>
    </w:p>
    <w:p>
      <w:pPr>
        <w:pStyle w:val="Compact"/>
        <w:numPr>
          <w:ilvl w:val="0"/>
          <w:numId w:val="1022"/>
        </w:numPr>
      </w:pPr>
      <w:r>
        <w:t xml:space="preserve">NIST SP 800-115, Technical Guide to Information Security Testing and Assessment. Cited here for</w:t>
      </w:r>
      <w:r>
        <w:t xml:space="preserve"> </w:t>
      </w:r>
      <w:r>
        <w:t xml:space="preserve">its process material only -- the rules-of-engagement template for an external engagement, and the</w:t>
      </w:r>
      <w:r>
        <w:t xml:space="preserve"> </w:t>
      </w:r>
      <w:r>
        <w:t xml:space="preserve">caveat that a retest verifies a fix only if the confirming run is a mirror copy of the original. It</w:t>
      </w:r>
      <w:r>
        <w:t xml:space="preserve"> </w:t>
      </w:r>
      <w:r>
        <w:t xml:space="preserve">is eighteen years old; its technique and tooling inventory is not current and nothing here borrows</w:t>
      </w:r>
      <w:r>
        <w:t xml:space="preserve"> </w:t>
      </w:r>
      <w:r>
        <w:t xml:space="preserve">from it.</w:t>
      </w:r>
    </w:p>
    <w:p>
      <w:pPr>
        <w:pStyle w:val="Compact"/>
        <w:numPr>
          <w:ilvl w:val="0"/>
          <w:numId w:val="1022"/>
        </w:numPr>
      </w:pPr>
      <w:r>
        <w:t xml:space="preserve">FIPS 199, Standards for Security Categorization. One page of vocabulary: three security</w:t>
      </w:r>
      <w:r>
        <w:t xml:space="preserve"> </w:t>
      </w:r>
      <w:r>
        <w:t xml:space="preserve">objectives against three impact levels, plus the high-water-mark roll-up for a collection.</w:t>
      </w:r>
    </w:p>
    <w:p>
      <w:pPr>
        <w:pStyle w:val="FirstParagraph"/>
      </w:pPr>
      <w:r>
        <w:t xml:space="preserve">Name the release, not just the revision, and record the date you checked. "SP 800-53 Rev. 5"</w:t>
      </w:r>
      <w:r>
        <w:t xml:space="preserve"> </w:t>
      </w:r>
      <w:r>
        <w:t xml:space="preserve">today names two artifacts that disagree. The PDF served under that title carries content dated</w:t>
      </w:r>
      <w:r>
        <w:t xml:space="preserve"> </w:t>
      </w:r>
      <w:r>
        <w:t xml:space="preserve">September 2020 with updates as of 2020-12-10. Release 5.2.0, issued 2025-08-27, adds SA-24,</w:t>
      </w:r>
      <w:r>
        <w:t xml:space="preserve"> </w:t>
      </w:r>
      <w:r>
        <w:t xml:space="preserve">SI-02(07) and SA-15(13) and revises SI-07(12) -- none of which can appear in a document whose</w:t>
      </w:r>
      <w:r>
        <w:t xml:space="preserve"> </w:t>
      </w:r>
      <w:r>
        <w:t xml:space="preserve">content predates them -- while the file name and the title are unchanged. So a citation reading</w:t>
      </w:r>
      <w:r>
        <w:t xml:space="preserve"> </w:t>
      </w:r>
      <w:r>
        <w:t xml:space="preserve">"SA-24, SP 800-53 Rev. 5" is simultaneously correct and unresolvable by a reader who downloads the</w:t>
      </w:r>
      <w:r>
        <w:t xml:space="preserve"> </w:t>
      </w:r>
      <w:r>
        <w:t xml:space="preserve">publication. Every 800-53 citation here is to Release 5.2.0 as checked on the date recorded in the</w:t>
      </w:r>
      <w:r>
        <w:t xml:space="preserve"> </w:t>
      </w:r>
      <w:r>
        <w:t xml:space="preserve">sources table, and names a control present in the served PDF. The sibling rule for any revised</w:t>
      </w:r>
      <w:r>
        <w:t xml:space="preserve"> </w:t>
      </w:r>
      <w:r>
        <w:t xml:space="preserve">publication: carry the revision number as well, because a bare identifier can resolve to a superseded</w:t>
      </w:r>
      <w:r>
        <w:t xml:space="preserve"> </w:t>
      </w:r>
      <w:r>
        <w:t xml:space="preserve">or withdrawn document that still says something plausible.</w:t>
      </w:r>
    </w:p>
    <w:p>
      <w:pPr>
        <w:pStyle w:val="BodyText"/>
      </w:pPr>
      <w:r>
        <w:rPr>
          <w:b/>
          <w:bCs/>
        </w:rPr>
        <w:t xml:space="preserve">Naming these sources is not a conformance claim, and cannot become one.</w:t>
      </w:r>
      <w:r>
        <w:t xml:space="preserve"> </w:t>
      </w:r>
      <w:r>
        <w:t xml:space="preserve">They are sources this</w:t>
      </w:r>
      <w:r>
        <w:t xml:space="preserve"> </w:t>
      </w:r>
      <w:r>
        <w:t xml:space="preserve">document draws on. It claims conformance with none of them, and none of them certify anything --</w:t>
      </w:r>
      <w:r>
        <w:t xml:space="preserve"> </w:t>
      </w:r>
      <w:r>
        <w:t xml:space="preserve">no publication in that list issues a certificate, and a self-assessment is not one either. Quoting</w:t>
      </w:r>
      <w:r>
        <w:t xml:space="preserve"> </w:t>
      </w:r>
      <w:r>
        <w:t xml:space="preserve">a control's text is not a claim of conformance to the catalog it came from. The wording that</w:t>
      </w:r>
      <w:r>
        <w:t xml:space="preserve"> </w:t>
      </w:r>
      <w:r>
        <w:t xml:space="preserve">survives a reviewer is "this practice corresponds to SP 800-53 Rev. 5 control SA-11(8)" -- a named</w:t>
      </w:r>
      <w:r>
        <w:t xml:space="preserve"> </w:t>
      </w:r>
      <w:r>
        <w:t xml:space="preserve">control, checkable against one paragraph of one publication. Which wordings fail, including the ones</w:t>
      </w:r>
      <w:r>
        <w:t xml:space="preserve"> </w:t>
      </w:r>
      <w:r>
        <w:t xml:space="preserve">that name a publication rather than a control, is</w:t>
      </w:r>
      <w:r>
        <w:t xml:space="preserve"> </w:t>
      </w:r>
      <w:hyperlink w:anchor="Xd93b41aba76cd6464a6e694c5ed1cd30484ae10">
        <w:r>
          <w:rPr>
            <w:rStyle w:val="Hyperlink"/>
          </w:rPr>
          <w:t xml:space="preserve">section 17</w:t>
        </w:r>
      </w:hyperlink>
      <w:r>
        <w:t xml:space="preserve">'s register;</w:t>
      </w:r>
      <w:r>
        <w:t xml:space="preserve"> </w:t>
      </w:r>
      <w:r>
        <w:t xml:space="preserve">it is stated there once and is not repeated here. For 800-53 in</w:t>
      </w:r>
      <w:r>
        <w:t xml:space="preserve"> </w:t>
      </w:r>
      <w:r>
        <w:t xml:space="preserve">particular the catalog's own notion of conformance is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built around the catalog are all out of scope here.</w:t>
      </w:r>
      <w:r>
        <w:t xml:space="preserve"> </w:t>
      </w:r>
      <w:r>
        <w:t xml:space="preserve">Only named control text is borrowed.</w:t>
      </w:r>
    </w:p>
    <w:p>
      <w:pPr>
        <w:pStyle w:val="BodyText"/>
      </w:pPr>
      <w:r>
        <w:t xml:space="preserve">How borrowings are marked. The default is inverted from a compliance matrix: an unmarked rule is</w:t>
      </w:r>
      <w:r>
        <w:t xml:space="preserve"> </w:t>
      </w:r>
      <w:r>
        <w:t xml:space="preserve">this document's own, and only a borrowing carries a mark.</w:t>
      </w:r>
      <w:r>
        <w:t xml:space="preserve"> </w:t>
      </w:r>
      <w:r>
        <w:rPr>
          <w:rStyle w:val="VerbatimChar"/>
        </w:rPr>
        <w:t xml:space="preserve">**[external]**</w:t>
      </w:r>
      <w:r>
        <w:t xml:space="preserve"> </w:t>
      </w:r>
      <w:r>
        <w:t xml:space="preserve">is empirical evidence --</w:t>
      </w:r>
      <w:r>
        <w:t xml:space="preserve"> </w:t>
      </w:r>
      <w:r>
        <w:t xml:space="preserve">a study, a measurement, a vendor's own concession.</w:t>
      </w:r>
      <w:r>
        <w:t xml:space="preserve"> </w:t>
      </w:r>
      <w:r>
        <w:rPr>
          <w:rStyle w:val="VerbatimChar"/>
        </w:rPr>
        <w:t xml:space="preserve">**[derived: &lt;code&gt;]**</w:t>
      </w:r>
      <w:r>
        <w:t xml:space="preserve"> </w:t>
      </w:r>
      <w:r>
        <w:t xml:space="preserve">means the rule is a</w:t>
      </w:r>
      <w:r>
        <w:t xml:space="preserve"> </w:t>
      </w:r>
      <w:r>
        <w:t xml:space="preserve">published requirement, restated for this audience.</w:t>
      </w:r>
      <w:r>
        <w:t xml:space="preserve"> </w:t>
      </w:r>
      <w:r>
        <w:rPr>
          <w:rStyle w:val="VerbatimChar"/>
        </w:rPr>
        <w:t xml:space="preserve">**[prompted by: &lt;code&gt;]**</w:t>
      </w:r>
      <w:r>
        <w:t xml:space="preserve"> </w:t>
      </w:r>
      <w:r>
        <w:t xml:space="preserve">means the source</w:t>
      </w:r>
      <w:r>
        <w:t xml:space="preserve"> </w:t>
      </w:r>
      <w:r>
        <w:t xml:space="preserve">raised the topic and the rule as written is ours, being stronger, narrower or different. The test</w:t>
      </w:r>
      <w:r>
        <w:t xml:space="preserve"> </w:t>
      </w:r>
      <w:r>
        <w:t xml:space="preserve">that decides between the last two: if the source changed, would this rule change? Yes is</w:t>
      </w:r>
      <w:r>
        <w:t xml:space="preserve"> </w:t>
      </w:r>
      <w:r>
        <w:t xml:space="preserve">derived, no is prompted-by, and no source at all is unmarked. A mark attaches to the rule -- the</w:t>
      </w:r>
      <w:r>
        <w:t xml:space="preserve"> </w:t>
      </w:r>
      <w:r>
        <w:t xml:space="preserve">lead sentence, or the bullet -- never to the prose arguing for it, so the explanation, the</w:t>
      </w:r>
      <w:r>
        <w:t xml:space="preserve"> </w:t>
      </w:r>
      <w:r>
        <w:t xml:space="preserve">honest limit and the cost sitting inside a derived rule stay unmarked, because those are ours.</w:t>
      </w:r>
    </w:p>
    <w:bookmarkStart w:id="68"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w:t>
      </w:r>
      <w:r>
        <w:t xml:space="preserve"> </w:t>
      </w:r>
      <w:r>
        <w:t xml:space="preserve">pass. So the familiar advice -- aim for a tailored, risk-based subset rather than one hundred</w:t>
      </w:r>
      <w:r>
        <w:t xml:space="preserve"> </w:t>
      </w:r>
      <w:r>
        <w:t xml:space="preserve">percent conformance -- understates the position. Full conformance is not a thing that exists to be</w:t>
      </w:r>
      <w:r>
        <w:t xml:space="preserve"> </w:t>
      </w:r>
      <w:r>
        <w:t xml:space="preserve">aimed at. The framework states outcomes a producer should achieve and leaves the how open, and its</w:t>
      </w:r>
      <w:r>
        <w:t xml:space="preserve"> </w:t>
      </w:r>
      <w:r>
        <w:t xml:space="preserve">implementation examples are illustrative rather than required.</w:t>
      </w:r>
    </w:p>
    <w:p>
      <w:pPr>
        <w:pStyle w:val="BodyText"/>
      </w:pPr>
      <w:r>
        <w:t xml:space="preserve">What that does not license is dropping a practice. Tailoring here happens at the implementation</w:t>
      </w:r>
      <w:r>
        <w:t xml:space="preserve"> </w:t>
      </w:r>
      <w:r>
        <w:t xml:space="preserve">layer -- which mechanism satisfies an outcome -- far more than at the practice layer. A practice</w:t>
      </w:r>
      <w:r>
        <w:t xml:space="preserve"> </w:t>
      </w:r>
      <w:r>
        <w:t xml:space="preserve">rarely stops applying because of a technology choice. A memory-safe language changes which</w:t>
      </w:r>
      <w:r>
        <w:t xml:space="preserve"> </w:t>
      </w:r>
      <w:r>
        <w:t xml:space="preserve">vulnerability classes you face, and therefore how you satisfy the code-analysis and testing</w:t>
      </w:r>
      <w:r>
        <w:t xml:space="preserve"> </w:t>
      </w:r>
      <w:r>
        <w:t xml:space="preserve">practices; it does not remove them. Treating a language feature as grounds to skip a practice is the</w:t>
      </w:r>
      <w:r>
        <w:t xml:space="preserve"> </w:t>
      </w:r>
      <w:r>
        <w:t xml:space="preserve">specific error this subsection exists to prevent.</w:t>
      </w:r>
    </w:p>
    <w:p>
      <w:pPr>
        <w:pStyle w:val="BodyText"/>
      </w:pPr>
      <w:r>
        <w:t xml:space="preserve">The artifact of tailoring is a written record of what you left out and why. This document already</w:t>
      </w:r>
      <w:r>
        <w:t xml:space="preserve"> </w:t>
      </w:r>
      <w:r>
        <w:t xml:space="preserve">produces one: the</w:t>
      </w:r>
      <w:r>
        <w:t xml:space="preserve"> </w:t>
      </w:r>
      <w:r>
        <w:rPr>
          <w:rStyle w:val="VerbatimChar"/>
        </w:rPr>
        <w:t xml:space="preserve">NOT ADDRESSED</w:t>
      </w:r>
      <w:r>
        <w:t xml:space="preserve"> </w:t>
      </w:r>
      <w:r>
        <w:t xml:space="preserve">rows of</w:t>
      </w:r>
      <w:r>
        <w:t xml:space="preserve"> </w:t>
      </w:r>
      <w:hyperlink w:anchor="Xd58ae4afd9eb69dfedf0e7d438c304043b8423d">
        <w:r>
          <w:rPr>
            <w:rStyle w:val="Hyperlink"/>
          </w:rPr>
          <w:t xml:space="preserve">the coverage table</w:t>
        </w:r>
      </w:hyperlink>
      <w:r>
        <w:t xml:space="preserve">, each carrying a</w:t>
      </w:r>
      <w:r>
        <w:t xml:space="preserve"> </w:t>
      </w:r>
      <w:r>
        <w:t xml:space="preserve">reason rather than an apology. An exclusion nobody wrote down is indistinguishable later from an</w:t>
      </w:r>
      <w:r>
        <w:t xml:space="preserve"> </w:t>
      </w:r>
      <w:r>
        <w:t xml:space="preserve">oversight, and the reason is what a reader needs in order to disagree with you.</w:t>
      </w:r>
    </w:p>
    <w:bookmarkEnd w:id="68"/>
    <w:bookmarkStart w:id="69" w:name="X801905d3ca07527c679b1d09a0936ad61121075"/>
    <w:p>
      <w:pPr>
        <w:pStyle w:val="Heading3"/>
      </w:pPr>
      <w:r>
        <w:t xml:space="preserve">The one setting where such a claim is a legal instrument, and its expiry date</w:t>
      </w:r>
    </w:p>
    <w:p>
      <w:pPr>
        <w:pStyle w:val="FirstParagraph"/>
      </w:pPr>
      <w:r>
        <w:t xml:space="preserve">There used to be a clean answer to when conformance actually binds a producer: selling software to</w:t>
      </w:r>
      <w:r>
        <w:t xml:space="preserve"> </w:t>
      </w:r>
      <w:r>
        <w:t xml:space="preserve">the US federal government. Executive Order 14028 led to OMB Memoranda M-22-18 (2022) and M-23-16</w:t>
      </w:r>
      <w:r>
        <w:t xml:space="preserve"> </w:t>
      </w:r>
      <w:r>
        <w:t xml:space="preserve">(2023), which required agencies to obtain a secure-software-development self-attestation from</w:t>
      </w:r>
      <w:r>
        <w:t xml:space="preserve"> </w:t>
      </w:r>
      <w:r>
        <w:t xml:space="preserve">producers, on a common form published by CISA in March 2024.</w:t>
      </w:r>
    </w:p>
    <w:p>
      <w:pPr>
        <w:pStyle w:val="BodyText"/>
      </w:pPr>
      <w:r>
        <w:t xml:space="preserve">That government-wide requirement was rescinded on 2026-01-23 by OMB Memorandum M-26-05, which</w:t>
      </w:r>
      <w:r>
        <w:t xml:space="preserve"> </w:t>
      </w:r>
      <w:r>
        <w:t xml:space="preserve">states that M-22-18 and M-23-16 "are hereby rescinded". Agencies "may choose to use" the attestation</w:t>
      </w:r>
      <w:r>
        <w:t xml:space="preserve"> </w:t>
      </w:r>
      <w:r>
        <w:t xml:space="preserve">form; none is required to collect it. The SSDF survives in that memo as a resource agencies "can</w:t>
      </w:r>
      <w:r>
        <w:t xml:space="preserve"> </w:t>
      </w:r>
      <w:r>
        <w:t xml:space="preserve">reference", not as a mandate, and agencies must still maintain a complete software and hardware</w:t>
      </w:r>
      <w:r>
        <w:t xml:space="preserve"> </w:t>
      </w:r>
      <w:r>
        <w:t xml:space="preserve">inventory and set assurance requirements matching their own risk determinations.</w:t>
      </w:r>
    </w:p>
    <w:p>
      <w:pPr>
        <w:pStyle w:val="BodyText"/>
      </w:pPr>
      <w:r>
        <w:t xml:space="preserve">Two things follow, and they pull in opposite directions.</w:t>
      </w:r>
    </w:p>
    <w:p>
      <w:pPr>
        <w:pStyle w:val="Compact"/>
        <w:numPr>
          <w:ilvl w:val="0"/>
          <w:numId w:val="1023"/>
        </w:numPr>
      </w:pPr>
      <w:r>
        <w:t xml:space="preserve">Advice written before 2026 saying you must sign the common form to sell federally is now wrong,</w:t>
      </w:r>
      <w:r>
        <w:t xml:space="preserve"> </w:t>
      </w:r>
      <w:r>
        <w:t xml:space="preserve">and that advice is still widely in circulation.</w:t>
      </w:r>
    </w:p>
    <w:p>
      <w:pPr>
        <w:pStyle w:val="Compact"/>
        <w:numPr>
          <w:ilvl w:val="0"/>
          <w:numId w:val="1023"/>
        </w:numPr>
      </w:pPr>
      <w:r>
        <w:rPr>
          <w:b/>
          <w:bCs/>
        </w:rPr>
        <w:t xml:space="preserve">This is not a relaxation.</w:t>
      </w:r>
      <w:r>
        <w:t xml:space="preserve"> </w:t>
      </w:r>
      <w:r>
        <w:t xml:space="preserve">The memorandum moves the obligation onto each agency head and says</w:t>
      </w:r>
      <w:r>
        <w:t xml:space="preserve"> </w:t>
      </w:r>
      <w:r>
        <w:t xml:space="preserve">there is no one-size-fits-all method. An individual agency may still require an attestation by its</w:t>
      </w:r>
      <w:r>
        <w:t xml:space="preserve"> </w:t>
      </w:r>
      <w:r>
        <w:t xml:space="preserve">own policy or contract. Read as a loosening, it is being read backwards.</w:t>
      </w:r>
    </w:p>
    <w:p>
      <w:pPr>
        <w:pStyle w:val="FirstParagraph"/>
      </w:pPr>
      <w:r>
        <w:t xml:space="preserve">The stated reason is worth reading if you are deciding how much rigor to adopt. OMB wrote that the</w:t>
      </w:r>
      <w:r>
        <w:t xml:space="preserve"> </w:t>
      </w:r>
      <w:r>
        <w:t xml:space="preserve">prior approach "imposed unproven and burdensome software accounting processes that prioritized</w:t>
      </w:r>
      <w:r>
        <w:t xml:space="preserve"> </w:t>
      </w:r>
      <w:r>
        <w:t xml:space="preserve">compliance over genuine security investments" and "diverted agencies from developing tailored</w:t>
      </w:r>
      <w:r>
        <w:t xml:space="preserve"> </w:t>
      </w:r>
      <w:r>
        <w:t xml:space="preserve">assurance requirements". That is the argument of the subsection above, made by the party that had</w:t>
      </w:r>
      <w:r>
        <w:t xml:space="preserve"> </w:t>
      </w:r>
      <w:r>
        <w:t xml:space="preserve">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 did</w:t>
      </w:r>
      <w:r>
        <w:t xml:space="preserve"> </w:t>
      </w:r>
      <w:r>
        <w:t xml:space="preserve">nothing to the consequences of making a false one.</w:t>
      </w:r>
    </w:p>
    <w:p>
      <w:pPr>
        <w:pStyle w:val="BodyText"/>
      </w:pPr>
      <w:r>
        <w:rPr>
          <w:i/>
          <w:iCs/>
        </w:rPr>
        <w:t xml:space="preserve">Memorandum text read directly and verified 2026-08-06; see the sources table for how this status is</w:t>
      </w:r>
      <w:r>
        <w:rPr>
          <w:i/>
          <w:iCs/>
        </w:rPr>
        <w:t xml:space="preserve"> </w:t>
      </w:r>
      <w:r>
        <w:rPr>
          <w:i/>
          <w:iCs/>
        </w:rPr>
        <w:t xml:space="preserve">carried. A compliance fact without a date is a claim with a hidden expiry, and this one replaced a</w:t>
      </w:r>
      <w:r>
        <w:rPr>
          <w:i/>
          <w:iCs/>
        </w:rPr>
        <w:t xml:space="preserve"> </w:t>
      </w:r>
      <w:r>
        <w:rPr>
          <w:i/>
          <w:iCs/>
        </w:rPr>
        <w:t xml:space="preserve">four-year-old regime.</w:t>
      </w:r>
    </w:p>
    <w:p>
      <w:r>
        <w:pict>
          <v:rect style="width:0;height:1.5pt" o:hralign="center" o:hrstd="t" o:hr="t"/>
        </w:pict>
      </w:r>
    </w:p>
    <w:bookmarkEnd w:id="69"/>
    <w:bookmarkEnd w:id="70"/>
    <w:bookmarkStart w:id="71" w:name="Xd58ae4afd9eb69dfedf0e7d438c304043b8423d"/>
    <w:p>
      <w:pPr>
        <w:pStyle w:val="Heading2"/>
      </w:pPr>
      <w:r>
        <w:t xml:space="preserve">What this document does not take from a control catalog</w:t>
      </w:r>
    </w:p>
    <w:p>
      <w:pPr>
        <w:pStyle w:val="FirstParagraph"/>
      </w:pPr>
      <w:r>
        <w:t xml:space="preserve">A reader who arrives holding the SSDF or SP 800-53, rather than at the top, has two ways in. For what</w:t>
      </w:r>
      <w:r>
        <w:t xml:space="preserve"> </w:t>
      </w:r>
      <w:r>
        <w:t xml:space="preserve">was borrowed, the marks in the body are the index: each names the control it came from, so a search</w:t>
      </w:r>
      <w:r>
        <w:t xml:space="preserve"> </w:t>
      </w:r>
      <w:r>
        <w:t xml:space="preserve">for a control identifier lands on the rule that restates it, inside the section that argues for it.</w:t>
      </w:r>
      <w:r>
        <w:t xml:space="preserve"> </w:t>
      </w:r>
      <w:r>
        <w:t xml:space="preserve">The sources table below records which publication contributes what. This table is the other half, and</w:t>
      </w:r>
      <w:r>
        <w:t xml:space="preserve"> </w:t>
      </w:r>
      <w:r>
        <w:t xml:space="preserve">the half nobody writes down: the areas a control catalog covers that this document deliberately takes</w:t>
      </w:r>
      <w:r>
        <w:t xml:space="preserve"> </w:t>
      </w:r>
      <w:r>
        <w:t xml:space="preserve">nothing from, and why. An absence then reads as a decision rather than an oversight, and a reader</w:t>
      </w:r>
      <w:r>
        <w:t xml:space="preserve"> </w:t>
      </w:r>
      <w:r>
        <w:t xml:space="preserve">holding a catalog can stop looking.</w:t>
      </w:r>
    </w:p>
    <w:p>
      <w:pPr>
        <w:pStyle w:val="BodyText"/>
      </w:pPr>
      <w:r>
        <w:t xml:space="preserve">It is not a coverage map, and there is nothing here to score. A row means this document has declined</w:t>
      </w:r>
      <w:r>
        <w:t xml:space="preserve"> </w:t>
      </w:r>
      <w:r>
        <w:t xml:space="preserve">to say something about that area. Nothing here claims the document satisfies a control, that a</w:t>
      </w:r>
      <w:r>
        <w:t xml:space="preserve"> </w:t>
      </w:r>
      <w:r>
        <w:t xml:space="preserve">product built under it satisfies one, or that either could be assessed against the catalog an</w:t>
      </w:r>
      <w:r>
        <w:t xml:space="preserve"> </w:t>
      </w:r>
      <w:r>
        <w:t xml:space="preserve">identifier came from.</w:t>
      </w:r>
      <w:r>
        <w:t xml:space="preserve"> </w:t>
      </w:r>
      <w:hyperlink w:anchor="Xd93b41aba76cd6464a6e694c5ed1cd30484ae10">
        <w:r>
          <w:rPr>
            <w:rStyle w:val="Hyperlink"/>
          </w:rPr>
          <w:t xml:space="preserve">Section 17</w:t>
        </w:r>
      </w:hyperlink>
      <w:r>
        <w:t xml:space="preserve"> </w:t>
      </w:r>
      <w:r>
        <w:t xml:space="preserve">carries the claim register, and</w:t>
      </w:r>
      <w:r>
        <w:t xml:space="preserve"> </w:t>
      </w:r>
      <w:r>
        <w:rPr>
          <w:i/>
          <w:iCs/>
        </w:rPr>
        <w:t xml:space="preserve">Naming</w:t>
      </w:r>
      <w:r>
        <w:rPr>
          <w:i/>
          <w:iCs/>
        </w:rPr>
        <w:t xml:space="preserve"> </w:t>
      </w:r>
      <w:r>
        <w:rPr>
          <w:i/>
          <w:iCs/>
        </w:rPr>
        <w:t xml:space="preserve">these sources is not a conformance claim</w:t>
      </w:r>
      <w:r>
        <w:t xml:space="preserve"> </w:t>
      </w:r>
      <w:r>
        <w:t xml:space="preserve">in</w:t>
      </w:r>
      <w:r>
        <w:t xml:space="preserve"> </w:t>
      </w:r>
      <w:hyperlink w:anchor="where-the-rules-come-from">
        <w:r>
          <w:rPr>
            <w:rStyle w:val="Hyperlink"/>
          </w:rPr>
          <w:t xml:space="preserve">Where the rules come from</w:t>
        </w:r>
      </w:hyperlink>
      <w:r>
        <w:t xml:space="preserve"> </w:t>
      </w:r>
      <w:r>
        <w:t xml:space="preserve">carries the reasoning; neither is repeated</w:t>
      </w:r>
      <w:r>
        <w:t xml:space="preserve"> </w:t>
      </w:r>
      <w:r>
        <w:t xml:space="preserve">here.</w:t>
      </w:r>
    </w:p>
    <w:p>
      <w:pPr>
        <w:pStyle w:val="BodyText"/>
      </w:pPr>
      <w:r>
        <w:t xml:space="preserve">There is deliberately no table mapping this document's rules onto a catalog's controls. A reader</w:t>
      </w:r>
      <w:r>
        <w:t xml:space="preserve"> </w:t>
      </w:r>
      <w:r>
        <w:t xml:space="preserve">would read one as a scorecard whatever it said about itself, control identifiers being unusually</w:t>
      </w:r>
      <w:r>
        <w:t xml:space="preserve"> </w:t>
      </w:r>
      <w:r>
        <w:t xml:space="preserve">quotable, and a count of them already sits in</w:t>
      </w:r>
      <w:r>
        <w:t xml:space="preserve"> </w:t>
      </w:r>
      <w:hyperlink w:anchor="Xa04daca1c49463ed52ff2475309af2fe8799704">
        <w:r>
          <w:rPr>
            <w:rStyle w:val="Hyperlink"/>
          </w:rPr>
          <w:t xml:space="preserve">section 5</w:t>
        </w:r>
      </w:hyperlink>
      <w:r>
        <w:t xml:space="preserve">'s anti-metrics</w:t>
      </w:r>
      <w:r>
        <w:t xml:space="preserve"> </w:t>
      </w:r>
      <w:r>
        <w:t xml:space="preserve">table as a badge that measures nothing. Most of what such a table would have held is stated once</w:t>
      </w:r>
      <w:r>
        <w:t xml:space="preserve"> </w:t>
      </w:r>
      <w:r>
        <w:t xml:space="preserve">already, in the body, at the rule.</w:t>
      </w:r>
    </w:p>
    <w:p>
      <w:pPr>
        <w:pStyle w:val="BodyText"/>
      </w:pPr>
      <w:r>
        <w:t xml:space="preserve">The 800-53 rows name controls as they stand in Release 5.2.0, per</w:t>
      </w:r>
      <w:r>
        <w:t xml:space="preserve"> </w:t>
      </w:r>
      <w:r>
        <w:rPr>
          <w:i/>
          <w:iCs/>
        </w:rPr>
        <w:t xml:space="preserve">Name the release, not just the</w:t>
      </w:r>
      <w:r>
        <w:rPr>
          <w:i/>
          <w:iCs/>
        </w:rPr>
        <w:t xml:space="preserve"> </w:t>
      </w:r>
      <w:r>
        <w:rPr>
          <w:i/>
          <w:iCs/>
        </w:rPr>
        <w:t xml:space="preserve">revision</w:t>
      </w:r>
      <w:r>
        <w:t xml:space="preserve"> </w:t>
      </w:r>
      <w:r>
        <w:t xml:space="preserve">above. And an absence from this table is not a claim in either direction: the area may have</w:t>
      </w:r>
      <w:r>
        <w:t xml:space="preserve"> </w:t>
      </w:r>
      <w:r>
        <w:t xml:space="preserve">been borrowed from, in which case a mark in the body says so, or it may simply be one nobody has</w:t>
      </w:r>
      <w:r>
        <w:t xml:space="preserve"> </w:t>
      </w:r>
      <w:r>
        <w:t xml:space="preserve">asked about yet.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NOT ADDRESSED, structurally. It requires two qualified individuals. Section 4 models the correct treatment of a control a small team cannot meet: name the control, record the deviation, name the compensating set actually in force, and name the event that ends it -- never redefine the control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NOT ADDRESSED. Section 4's comprehension bar -- reject code you cannot explain -- is the right-sized substitute and is already there. A training program with completion records beside it would be a second record of the same obligation, which is what section 17's name-the-record-of-record rule exists to prevent</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NOT ADDRESSED. The hash-chained log in section 9 is the right assurance level for this audience. Write-once media and public-key-backed non-repudiation are operator infrastructure whose cost is orders of magnitude above the threat a small producer is defending against</w:t>
            </w:r>
          </w:p>
        </w:tc>
      </w:tr>
      <w:tr>
        <w:tc>
          <w:tcPr/>
          <w:p>
            <w:pPr>
              <w:pStyle w:val="Compact"/>
            </w:pPr>
            <w:r>
              <w:t xml:space="preserve">800-53 CA-6, and the SP 800-53B baselines around it</w:t>
            </w:r>
          </w:p>
        </w:tc>
        <w:tc>
          <w:tcPr/>
          <w:p>
            <w:pPr>
              <w:pStyle w:val="Compact"/>
            </w:pPr>
            <w:r>
              <w:t xml:space="preserve">Select and tailor a control baseline, then authorize the system to operate</w:t>
            </w:r>
          </w:p>
        </w:tc>
        <w:tc>
          <w:tcPr/>
          <w:p>
            <w:pPr>
              <w:pStyle w:val="Compact"/>
            </w:pPr>
            <w:r>
              <w:t xml:space="preserve">NOT ADDRESSED, deliberately. This is what makes 800-53 mean something to a system owner and it is meaningless to a producer who does not operate the system. An adopter who follows the citation upstream will spend weeks tailoring and end with a document describing an organization they are not. Only named control text is borrowed here</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NOT ADDRESSED, structurally, for the same reason as AC-5: it requires two qualified individuals. Section 13 is where a solo maintainer records it, not section 10</w:t>
            </w:r>
          </w:p>
        </w:tc>
      </w:tr>
      <w:tr>
        <w:tc>
          <w:tcPr/>
          <w:p>
            <w:pPr>
              <w:pStyle w:val="Compact"/>
            </w:pPr>
            <w:r>
              <w:t xml:space="preserve">800-53 CP-2, CP-4</w:t>
            </w:r>
          </w:p>
        </w:tc>
        <w:tc>
          <w:tcPr/>
          <w:p>
            <w:pPr>
              <w:pStyle w:val="Compact"/>
            </w:pPr>
            <w:r>
              <w:t xml:space="preserve">A contingency plan for the system, and testing of it, with recovery time and recovery point objectives</w:t>
            </w:r>
          </w:p>
        </w:tc>
        <w:tc>
          <w:tcPr/>
          <w:p>
            <w:pPr>
              <w:pStyle w:val="Compact"/>
            </w:pPr>
            <w:r>
              <w:t xml:space="preserve">NOT ADDRESSED. Continuity of a running deployment is in the right-hand column of section 1's table, and claiming it would be the over-reach that table exists to prevent. Only the producer-side sliver crosses over -- backing up the producer's own evidence archive, in section 10 -- and section 10 states in the same paragraph that it does not cover a deployment's data</w:t>
            </w:r>
          </w:p>
        </w:tc>
      </w:tr>
      <w:tr>
        <w:tc>
          <w:tcPr/>
          <w:p>
            <w:pPr>
              <w:pStyle w:val="Compact"/>
            </w:pPr>
            <w:r>
              <w:t xml:space="preserve">800-53 IR-1 through IR-8 as a program</w:t>
            </w:r>
          </w:p>
        </w:tc>
        <w:tc>
          <w:tcPr/>
          <w:p>
            <w:pPr>
              <w:pStyle w:val="Compact"/>
            </w:pPr>
            <w:r>
              <w:t xml:space="preserve">An incident response capability with handling phases, training, testing and reporting obligations</w:t>
            </w:r>
          </w:p>
        </w:tc>
        <w:tc>
          <w:tcPr/>
          <w:p>
            <w:pPr>
              <w:pStyle w:val="Compact"/>
            </w:pPr>
            <w:r>
              <w:t xml:space="preserve">NOT ADDRESSED as a program. Section 12 carries the producer-scoped slice -- private intake, banded windows, root-cause review, coordinated disclosure, and the machinery exercised end to end at least once. Incidents are generated by running the software, which is the operator's column</w:t>
            </w:r>
          </w:p>
        </w:tc>
      </w:tr>
      <w:tr>
        <w:tc>
          <w:tcPr/>
          <w:p>
            <w:pPr>
              <w:pStyle w:val="Compact"/>
            </w:pPr>
            <w:r>
              <w:t xml:space="preserve">800-53 MA family</w:t>
            </w:r>
          </w:p>
        </w:tc>
        <w:tc>
          <w:tcPr/>
          <w:p>
            <w:pPr>
              <w:pStyle w:val="Compact"/>
            </w:pPr>
            <w:r>
              <w:t xml:space="preserve">Controlled maintenance, maintenance personnel, maintenance tools, nonlocal maintenance</w:t>
            </w:r>
          </w:p>
        </w:tc>
        <w:tc>
          <w:tcPr/>
          <w:p>
            <w:pPr>
              <w:pStyle w:val="Compact"/>
            </w:pPr>
            <w:r>
              <w:t xml:space="preserve">NOT ADDRESSED. It assumes an owned hardware estate serviced by identified technicians. There is no analogue in a topology of a workstation and a hosted runner, and forcing one produces a control satisfied by definition -- which is the failure section 5 names when it requires you to fire the failure class at a gate before crediting its green</w:t>
            </w:r>
          </w:p>
        </w:tc>
      </w:tr>
      <w:tr>
        <w:tc>
          <w:tcPr/>
          <w:p>
            <w:pPr>
              <w:pStyle w:val="Compact"/>
            </w:pPr>
            <w:r>
              <w:t xml:space="preserve">800-53 PE family</w:t>
            </w:r>
          </w:p>
        </w:tc>
        <w:tc>
          <w:tcPr/>
          <w:p>
            <w:pPr>
              <w:pStyle w:val="Compact"/>
            </w:pPr>
            <w:r>
              <w:t xml:space="preserve">Facility perimeter, physical access authorization and records, visitor control, environmental protection</w:t>
            </w:r>
          </w:p>
        </w:tc>
        <w:tc>
          <w:tcPr/>
          <w:p>
            <w:pPr>
              <w:pStyle w:val="Compact"/>
            </w:pPr>
            <w:r>
              <w:t xml:space="preserve">NOT ADDRESSED. A producing team has no facility to evidence any of it against. The part that would matter -- physical access to the machine the build runs on -- sits with the build service, which section 1's third-participant table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insider threat, a risk executive function</w:t>
            </w:r>
          </w:p>
        </w:tc>
        <w:tc>
          <w:tcPr/>
          <w:p>
            <w:pPr>
              <w:pStyle w:val="Compact"/>
            </w:pPr>
            <w:r>
              <w:t xml:space="preserve">NOT ADDRESSED. There is no small-team version of it. There is only a solo maintainer writing an organization chart that does not exist, which is the kind of fiction section 17's claim register is built to catch</w:t>
            </w:r>
          </w:p>
        </w:tc>
      </w:tr>
      <w:tr>
        <w:tc>
          <w:tcPr/>
          <w:p>
            <w:pPr>
              <w:pStyle w:val="Compact"/>
            </w:pPr>
            <w:r>
              <w:t xml:space="preserve">800-53 PS family</w:t>
            </w:r>
          </w:p>
        </w:tc>
        <w:tc>
          <w:tcPr/>
          <w:p>
            <w:pPr>
              <w:pStyle w:val="Compact"/>
            </w:pPr>
            <w:r>
              <w:t xml:space="preserve">Personnel screening, termination and transfer procedures, and formal sanctions for policy violation</w:t>
            </w:r>
          </w:p>
        </w:tc>
        <w:tc>
          <w:tcPr/>
          <w:p>
            <w:pPr>
              <w:pStyle w:val="Compact"/>
            </w:pPr>
            <w:r>
              <w:t xml:space="preserve">NOT ADDRESSED. Employment controls belong to the adopting organization. A one- or two-person team screening and sanctioning itself is theater, and naming it as satisfied would be worse than naming it absent</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NOT ADDRESSED as standing artifacts. Section 2's per-boundary threat model carries the part a producer can act on, and it is better targeted because it is checkable one boundary at a time. A standalone risk assessment gives the release gate something to point at that nobody verified</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and disposal</w:t>
            </w:r>
          </w:p>
        </w:tc>
        <w:tc>
          <w:tcPr/>
          <w:p>
            <w:pPr>
              <w:pStyle w:val="Compact"/>
            </w:pPr>
            <w:r>
              <w:t xml:space="preserve">NOT ADDRESSED. These are hardware and physical-supply-chain controls. The software supply-chain content a producer can actually evidence -- provenance, attestation over the digest, component inventory, published digest manifest, pinned toolchain -- is in section 10 and is stronger there than a mapping to these would make it</w:t>
            </w:r>
          </w:p>
        </w:tc>
      </w:tr>
      <w:tr>
        <w:tc>
          <w:tcPr/>
          <w:p>
            <w:pPr>
              <w:pStyle w:val="Compact"/>
            </w:pPr>
            <w:r>
              <w:t xml:space="preserve">Third-party agreements</w:t>
            </w:r>
          </w:p>
        </w:tc>
        <w:tc>
          <w:tcPr/>
          <w:p>
            <w:pPr>
              <w:pStyle w:val="Compact"/>
            </w:pPr>
            <w:r>
              <w:t xml:space="preserve">Contractual terms binding a service that handles your data, with defined obligations and remedies</w:t>
            </w:r>
          </w:p>
        </w:tc>
        <w:tc>
          <w:tcPr/>
          <w:p>
            <w:pPr>
              <w:pStyle w:val="Compact"/>
            </w:pPr>
            <w:r>
              <w:t xml:space="preserve">NOT ADDRESSED. The third-participant table records the trust and the failure mode; it does not attempt an agreement. Negotiated terms are the adopting organization's instrument, and a small team on a provider's standard terms has nothing to negotiate -- writing a clause it cannot enforce would be a compensating control resting on a false premise</w:t>
            </w:r>
          </w:p>
        </w:tc>
      </w:tr>
      <w:tr>
        <w:tc>
          <w:tcPr/>
          <w:p>
            <w:pPr>
              <w:pStyle w:val="Compact"/>
            </w:pPr>
            <w:r>
              <w:t xml:space="preserve">Assessment determination statements</w:t>
            </w:r>
          </w:p>
        </w:tc>
        <w:tc>
          <w:tcPr/>
          <w:p>
            <w:pPr>
              <w:pStyle w:val="Compact"/>
            </w:pPr>
            <w:r>
              <w:t xml:space="preserve">Per-control determination statements, assessed by examine, interview and test methods</w:t>
            </w:r>
          </w:p>
        </w:tc>
        <w:tc>
          <w:tcPr/>
          <w:p>
            <w:pPr>
              <w:pStyle w:val="Compact"/>
            </w:pPr>
            <w:r>
              <w:t xml:space="preserve">NOT ADDRESSED, and deliberately not imported. Converting a standard a team builds to into an audit program a team is subjected to changes what the document is for. Section 15 points at this site's own assessment method and is explicit that a second procedure must not be built beside it</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NOT ADDRESSED, and it would be over-reach to try. This document categorizes data classes, which are a property of the code it ships. The deployed system belongs to the adopting organization and its category is theirs to assign, per section 1's split and section 15's correction about not gating somebody else's deployment</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NOT ADDRESSED, and not borrowed. The publication is from 2008 and only its process material is durable, which is why the source list above scopes it to process and nothing here cites it for technique</w:t>
            </w:r>
          </w:p>
        </w:tc>
      </w:tr>
      <w:tr>
        <w:tc>
          <w:tcPr/>
          <w:p>
            <w:pPr>
              <w:pStyle w:val="Compact"/>
            </w:pPr>
            <w:r>
              <w:t xml:space="preserve">Social engineering testing</w:t>
            </w:r>
          </w:p>
        </w:tc>
        <w:tc>
          <w:tcPr/>
          <w:p>
            <w:pPr>
              <w:pStyle w:val="Compact"/>
            </w:pPr>
            <w:r>
              <w:t xml:space="preserve">Phishing simulation, pretexting, and physical-access attempts against people</w:t>
            </w:r>
          </w:p>
        </w:tc>
        <w:tc>
          <w:tcPr/>
          <w:p>
            <w:pPr>
              <w:pStyle w:val="Compact"/>
            </w:pPr>
            <w:r>
              <w:t xml:space="preserve">NOT ADDRESSED as a control. Its target is an organization's staff and premises, not a build. Section 15 requires the engagement scope to state what is explicitly out of scope, which is the one place a decision either way gets recorded rather than assumed</w:t>
            </w:r>
          </w:p>
        </w:tc>
      </w:tr>
    </w:tbl>
    <w:p>
      <w:r>
        <w:pict>
          <v:rect style="width:0;height:1.5pt" o:hralign="center" o:hrstd="t" o:hr="t"/>
        </w:pict>
      </w:r>
    </w:p>
    <w:bookmarkEnd w:id="71"/>
    <w:bookmarkStart w:id="72" w:name="sources"/>
    <w:p>
      <w:pPr>
        <w:pStyle w:val="Heading2"/>
      </w:pPr>
      <w:r>
        <w:t xml:space="preserve">Sources</w:t>
      </w:r>
    </w:p>
    <w:p>
      <w:pPr>
        <w:pStyle w:val="FirstParagraph"/>
      </w:pPr>
      <w:r>
        <w:t xml:space="preserve">The record of record for the four publications named above. Status, date, and the date the</w:t>
      </w:r>
      <w:r>
        <w:t xml:space="preserve"> </w:t>
      </w:r>
      <w:r>
        <w:t xml:space="preserve">status was last checked live here and nowhere else on the page, so a re-check is one edit. The one</w:t>
      </w:r>
      <w:r>
        <w:t xml:space="preserve"> </w:t>
      </w:r>
      <w:r>
        <w:t xml:space="preserve">place two of these dates appear again is the version-trap paragraph</w:t>
      </w:r>
      <w:r>
        <w:t xml:space="preserve"> </w:t>
      </w:r>
      <w:hyperlink w:anchor="where-the-rules-come-from">
        <w:r>
          <w:rPr>
            <w:rStyle w:val="Hyperlink"/>
          </w:rPr>
          <w:t xml:space="preserve">above</w:t>
        </w:r>
      </w:hyperlink>
      <w:r>
        <w:t xml:space="preserve">, where the two disagreeing dates</w:t>
      </w:r>
      <w:r>
        <w:t xml:space="preserve"> </w:t>
      </w:r>
      <w:r>
        <w:rPr>
          <w:i/>
          <w:iCs/>
        </w:rPr>
        <w:t xml:space="preserve">are</w:t>
      </w:r>
      <w:r>
        <w:t xml:space="preserve"> </w:t>
      </w:r>
      <w:r>
        <w:t xml:space="preserve">the argument rather than a</w:t>
      </w:r>
      <w:r>
        <w:t xml:space="preserve"> </w:t>
      </w:r>
      <w:r>
        <w:t xml:space="preserve">status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are the outcomes standing behind section 2's malformed-input harness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prose by the one-mark-per-rule cap, recorded here instead: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 confidentiality, integrity, availability -- at three impact levels, and the high-water-mark roll-up that rates a collection by the highest class it holds</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 -- see</w:t>
      </w:r>
      <w:r>
        <w:t xml:space="preserve"> </w:t>
      </w:r>
      <w:hyperlink w:anchor="Xd93b41aba76cd6464a6e694c5ed1cd30484ae10">
        <w:r>
          <w:rPr>
            <w:rStyle w:val="Hyperlink"/>
          </w:rPr>
          <w:t xml:space="preserve">section 17</w:t>
        </w:r>
      </w:hyperlink>
      <w:r>
        <w:t xml:space="preserve">.</w:t>
      </w:r>
    </w:p>
    <w:p>
      <w:r>
        <w:pict>
          <v:rect style="width:0;height:1.5pt" o:hralign="center" o:hrstd="t" o:hr="t"/>
        </w:pict>
      </w:r>
    </w:p>
    <w:bookmarkEnd w:id="72"/>
    <w:bookmarkStart w:id="76" w:name="related"/>
    <w:p>
      <w:pPr>
        <w:pStyle w:val="Heading2"/>
      </w:pPr>
      <w:r>
        <w:t xml:space="preserve">Related</w:t>
      </w:r>
    </w:p>
    <w:p>
      <w:pPr>
        <w:pStyle w:val="Compact"/>
        <w:numPr>
          <w:ilvl w:val="0"/>
          <w:numId w:val="1024"/>
        </w:numPr>
      </w:pPr>
      <w:hyperlink r:id="rId24">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24"/>
        </w:numPr>
      </w:pPr>
      <w:hyperlink r:id="rId31">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24"/>
        </w:numPr>
      </w:pPr>
      <w:hyperlink r:id="rId55">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24"/>
        </w:numPr>
      </w:pPr>
      <w:hyperlink r:id="rId73">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24"/>
        </w:numPr>
      </w:pPr>
      <w:hyperlink r:id="rId60">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24"/>
        </w:numPr>
      </w:pPr>
      <w:hyperlink r:id="rId74">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24"/>
        </w:numPr>
      </w:pPr>
      <w:hyperlink r:id="rId75">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0" Target="../ASVS-ASSESSMENT.md" TargetMode="External" /><Relationship Type="http://schemas.openxmlformats.org/officeDocument/2006/relationships/hyperlink" Id="rId74" Target="../CASE-STUDY-drift-audit.md" TargetMode="External" /><Relationship Type="http://schemas.openxmlformats.org/officeDocument/2006/relationships/hyperlink" Id="rId24" Target="../CI-AND-STANDARDS.md" TargetMode="External" /><Relationship Type="http://schemas.openxmlformats.org/officeDocument/2006/relationships/hyperlink" Id="rId31" Target="../LEAK-GATE.md" TargetMode="External" /><Relationship Type="http://schemas.openxmlformats.org/officeDocument/2006/relationships/hyperlink" Id="rId75" Target="../TIPS-AND-TRICKS.md" TargetMode="External" /><Relationship Type="http://schemas.openxmlformats.org/officeDocument/2006/relationships/hyperlink" Id="rId27" Target="CODE-QUALITY.md#the-evidence-and-the-hedge-each-citation-must-carry" TargetMode="External" /><Relationship Type="http://schemas.openxmlformats.org/officeDocument/2006/relationships/hyperlink" Id="rId55" Target="DEPENDENCY-INTEGRITY.md" TargetMode="External" /><Relationship Type="http://schemas.openxmlformats.org/officeDocument/2006/relationships/hyperlink" Id="rId73"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60" Target="../ASVS-ASSESSMENT.md" TargetMode="External" /><Relationship Type="http://schemas.openxmlformats.org/officeDocument/2006/relationships/hyperlink" Id="rId74" Target="../CASE-STUDY-drift-audit.md" TargetMode="External" /><Relationship Type="http://schemas.openxmlformats.org/officeDocument/2006/relationships/hyperlink" Id="rId24" Target="../CI-AND-STANDARDS.md" TargetMode="External" /><Relationship Type="http://schemas.openxmlformats.org/officeDocument/2006/relationships/hyperlink" Id="rId31" Target="../LEAK-GATE.md" TargetMode="External" /><Relationship Type="http://schemas.openxmlformats.org/officeDocument/2006/relationships/hyperlink" Id="rId75" Target="../TIPS-AND-TRICKS.md" TargetMode="External" /><Relationship Type="http://schemas.openxmlformats.org/officeDocument/2006/relationships/hyperlink" Id="rId27" Target="CODE-QUALITY.md#the-evidence-and-the-hedge-each-citation-must-carry" TargetMode="External" /><Relationship Type="http://schemas.openxmlformats.org/officeDocument/2006/relationships/hyperlink" Id="rId55" Target="DEPENDENCY-INTEGRITY.md" TargetMode="External" /><Relationship Type="http://schemas.openxmlformats.org/officeDocument/2006/relationships/hyperlink" Id="rId73"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2026-08-07T13:48:09Z</dcterms:created>
  <dcterms:modified xsi:type="dcterms:W3CDTF">2026-08-07T13:48:09Z</dcterms:modified>
</cp:coreProperties>
</file>

<file path=docProps/custom.xml><?xml version="1.0" encoding="utf-8"?>
<Properties xmlns="http://schemas.openxmlformats.org/officeDocument/2006/custom-properties" xmlns:vt="http://schemas.openxmlformats.org/officeDocument/2006/docPropsVTypes"/>
</file>