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t xml:space="preserve">A method for assessing a codebase against OWASP ASVS 5.0 -- a standard with several hundred</w:t>
      </w:r>
      <w:r>
        <w:t xml:space="preserve"> </w:t>
      </w:r>
      <w:r>
        <w:t xml:space="preserve">individually verifiable requirements -- when most of the scoring is done by Claude Code sessions</w:t>
      </w:r>
      <w:r>
        <w:t xml:space="preserve"> </w:t>
      </w:r>
      <w:r>
        <w:t xml:space="preserve">rather than by one person reading code all week.</w:t>
      </w:r>
    </w:p>
    <w:p>
      <w:pPr>
        <w:pStyle w:val="BodyText"/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 of</w:t>
      </w:r>
      <w:r>
        <w:t xml:space="preserve"> </w:t>
      </w:r>
      <w:r>
        <w:t xml:space="preserve">where a system is weak: which control is off, which surface is uncovered, which item nobody has got</w:t>
      </w:r>
      <w:r>
        <w:t xml:space="preserve"> </w:t>
      </w:r>
      <w:r>
        <w:t xml:space="preserve">to yet. That map belongs in a private record with the people who can act on it, not in a public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So nothing below states a verdict, a count, a percentage, or a level attainment for any codebase.</w:t>
      </w:r>
      <w:r>
        <w:t xml:space="preserve"> </w:t>
      </w:r>
      <w:r>
        <w:t xml:space="preserve">What is here is the part that transfers: the procedure, the vocabulary, the traps, and the review</w:t>
      </w:r>
      <w:r>
        <w:t xml:space="preserve"> </w:t>
      </w:r>
      <w:r>
        <w:t xml:space="preserve">pass. To find out where a system stands, run the assessment against that system -- do not read</w:t>
      </w:r>
      <w:r>
        <w:t xml:space="preserve"> </w:t>
      </w:r>
      <w:r>
        <w:t xml:space="preserve">someone's published summary of theirs.</w:t>
      </w:r>
    </w:p>
    <w:p>
      <w:pPr>
        <w:pStyle w:val="BodyText"/>
      </w:pPr>
      <w:r>
        <w:t xml:space="preserve">That separation is itself one of the lessons. Publishing the method invites scrutiny of the</w:t>
      </w:r>
      <w:r>
        <w:t xml:space="preserve"> </w:t>
      </w:r>
      <w:r>
        <w:t xml:space="preserve">reasoning. Publishing the register invites something else.</w:t>
      </w:r>
    </w:p>
    <w:p>
      <w:pPr>
        <w:pStyle w:val="BodyText"/>
      </w:pPr>
      <w:r>
        <w:rPr>
          <w:b/>
          <w:bCs/>
        </w:rPr>
        <w:t xml:space="preserve">Two independent sources.</w:t>
      </w:r>
      <w:r>
        <w:t xml:space="preserve"> </w:t>
      </w:r>
      <w:r>
        <w:t xml:space="preserve">This was first written from published method documents, then corrected</w:t>
      </w:r>
      <w:r>
        <w:t xml:space="preserve"> </w:t>
      </w:r>
      <w:r>
        <w:t xml:space="preserve">and deepened against a first-hand practitioner account. That account came from a session that ran an</w:t>
      </w:r>
      <w:r>
        <w:t xml:space="preserve"> </w:t>
      </w:r>
      <w:r>
        <w:t xml:space="preserve">assessment end to end and was asked afterwards for method only. Where the two disagreed, the</w:t>
      </w:r>
      <w:r>
        <w:t xml:space="preserve"> </w:t>
      </w:r>
      <w:r>
        <w:t xml:space="preserve">first-hand account won.</w:t>
      </w:r>
    </w:p>
    <w:p>
      <w:pPr>
        <w:pStyle w:val="BodyText"/>
      </w:pPr>
      <w:r>
        <w:rPr>
          <w:b/>
          <w:bCs/>
        </w:rPr>
        <w:t xml:space="preserve">Its organizing insight, stated up front:</w:t>
      </w:r>
      <w:r>
        <w:t xml:space="preserve"> </w:t>
      </w:r>
      <w:r>
        <w:t xml:space="preserve">the recurring failure is an instrument answering a</w:t>
      </w:r>
      <w:r>
        <w:t xml:space="preserve"> </w:t>
      </w:r>
      <w:r>
        <w:t xml:space="preserve">narrower question than the one asked, and looking clean while doing it. Most of the traps below are</w:t>
      </w:r>
      <w:r>
        <w:t xml:space="preserve"> </w:t>
      </w:r>
      <w:r>
        <w:t xml:space="preserve">instances of it.</w:t>
      </w:r>
    </w:p>
    <w:p>
      <w:r>
        <w:pict>
          <v:rect style="width:0;height:1.5pt" o:hralign="center" o:hrstd="t" o:hr="t"/>
        </w:pict>
      </w:r>
    </w:p>
    <w:bookmarkStart w:id="10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9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3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11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11"/>
    <w:bookmarkStart w:id="12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14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14"/>
    <w:bookmarkStart w:id="15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15"/>
    <w:bookmarkStart w:id="16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16"/>
    <w:bookmarkStart w:id="17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19"/>
    <w:bookmarkStart w:id="21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20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22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22"/>
    <w:bookmarkStart w:id="23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23"/>
    <w:bookmarkStart w:id="24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26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28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28"/>
    <w:bookmarkStart w:id="29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Drift is the gate working, not a defect.</w:t>
      </w:r>
      <w:r>
        <w:t xml:space="preserve"> </w:t>
      </w:r>
      <w:r>
        <w:t xml:space="preserve">The correct response to a broken anchor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 the cell actually graded now lives, and re-read the</w:t>
      </w:r>
      <w:r>
        <w:t xml:space="preserve"> </w:t>
      </w:r>
      <w:r>
        <w:t xml:space="preserve">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</w:t>
      </w:r>
      <w:r>
        <w:t xml:space="preserve"> </w:t>
      </w:r>
      <w:r>
        <w:t xml:space="preserve">the old line is how a citation ends up describing code the cell never assessed.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29"/>
    <w:bookmarkStart w:id="30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30"/>
    <w:bookmarkStart w:id="32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31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32"/>
    <w:bookmarkStart w:id="33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3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3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3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3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35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38"/>
    <w:bookmarkStart w:id="40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39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41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42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43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44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44"/>
    <w:bookmarkStart w:id="45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47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47"/>
    <w:bookmarkStart w:id="48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48"/>
    <w:bookmarkStart w:id="49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51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53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55"/>
    <w:bookmarkStart w:id="56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0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16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19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0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1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23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25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27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29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30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9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31"/>
        </w:numPr>
      </w:pPr>
      <w:hyperlink r:id="rId57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31"/>
        </w:numPr>
      </w:pPr>
      <w:hyperlink r:id="rId31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31"/>
        </w:numPr>
      </w:pPr>
      <w:hyperlink r:id="rId58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CASE-STUDY-drift-audit.md" TargetMode="External" /><Relationship Type="http://schemas.openxmlformats.org/officeDocument/2006/relationships/hyperlink" Id="rId58" Target="COORDINATION.md" TargetMode="External" /><Relationship Type="http://schemas.openxmlformats.org/officeDocument/2006/relationships/hyperlink" Id="rId31" Target="https://github.com/wshallwshall/claude-multisession/blob/main/bin/ccx-doctor.ps1" TargetMode="External" /><Relationship Type="http://schemas.openxmlformats.org/officeDocument/2006/relationships/hyperlink" Id="rId43" Target="https://github.com/wshallwshall/claude-multisession/blob/main/scripts/coord/alloc.ps1" TargetMode="External" /><Relationship Type="http://schemas.openxmlformats.org/officeDocument/2006/relationships/hyperlink" Id="rId41" Target="https://github.com/wshallwshall/claude-multisession/blob/main/scripts/coord/claim.ps1" TargetMode="External" /><Relationship Type="http://schemas.openxmlformats.org/officeDocument/2006/relationships/hyperlink" Id="rId42" Target="https://github.com/wshallwshall/claude-multisession/blob/main/scripts/hooks/claim_check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CASE-STUDY-drift-audit.md" TargetMode="External" /><Relationship Type="http://schemas.openxmlformats.org/officeDocument/2006/relationships/hyperlink" Id="rId58" Target="COORDINATION.md" TargetMode="External" /><Relationship Type="http://schemas.openxmlformats.org/officeDocument/2006/relationships/hyperlink" Id="rId31" Target="https://github.com/wshallwshall/claude-multisession/blob/main/bin/ccx-doctor.ps1" TargetMode="External" /><Relationship Type="http://schemas.openxmlformats.org/officeDocument/2006/relationships/hyperlink" Id="rId43" Target="https://github.com/wshallwshall/claude-multisession/blob/main/scripts/coord/alloc.ps1" TargetMode="External" /><Relationship Type="http://schemas.openxmlformats.org/officeDocument/2006/relationships/hyperlink" Id="rId41" Target="https://github.com/wshallwshall/claude-multisession/blob/main/scripts/coord/claim.ps1" TargetMode="External" /><Relationship Type="http://schemas.openxmlformats.org/officeDocument/2006/relationships/hyperlink" Id="rId42" Target="https://github.com/wshallwshall/claude-multisession/blob/main/scripts/hooks/claim_check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2026-08-06T04:01:51Z</dcterms:created>
  <dcterms:modified xsi:type="dcterms:W3CDTF">2026-08-06T04:01:51Z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