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</w:p>
    <w:p>
      <w:pPr>
        <w:pStyle w:val="BodyText"/>
      </w:pPr>
      <w:r>
        <w:t xml:space="preserve">It was written for a repository where much of the code came from Claude Code, or another AI coding</w:t>
      </w:r>
      <w:r>
        <w:t xml:space="preserve"> </w:t>
      </w:r>
      <w:r>
        <w:t xml:space="preserve">assistant, across parallel sessions. Nothing in it depends on who typed the lines. The rubric judges</w:t>
      </w:r>
      <w:r>
        <w:t xml:space="preserve"> </w:t>
      </w:r>
      <w:r>
        <w:t xml:space="preserve">the artifact.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allowed to decide a verdict and rows</w:t>
      </w:r>
      <w:r>
        <w:t xml:space="preserve"> </w:t>
      </w:r>
      <w:r>
        <w:t xml:space="preserve">allowed only to start a conversation. An argument about "is this good enough" then resolves</w:t>
      </w:r>
      <w:r>
        <w:t xml:space="preserve"> </w:t>
      </w:r>
      <w:r>
        <w:t xml:space="preserve">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each</w:t>
      </w:r>
      <w:r>
        <w:t xml:space="preserve"> </w:t>
      </w:r>
      <w:r>
        <w:t xml:space="preserve">control tagged with the document that owns it. Adopting this adds gates rather than a second copy</w:t>
      </w:r>
      <w:r>
        <w:t xml:space="preserve"> </w:t>
      </w:r>
      <w:r>
        <w:t xml:space="preserve">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finite.</w:t>
      </w:r>
      <w:r>
        <w:t xml:space="preserve"> </w:t>
      </w:r>
      <w:r>
        <w:t xml:space="preserve">Depth tiers aim the line-by-line read at the</w:t>
      </w:r>
      <w:r>
        <w:t xml:space="preserve"> </w:t>
      </w:r>
      <w:r>
        <w:t xml:space="preserve">small fraction that earns it, and give every other file a named cheaper obligation. The</w:t>
      </w:r>
      <w:r>
        <w:t xml:space="preserve"> </w:t>
      </w:r>
      <w:r>
        <w:t xml:space="preserve">alternative is a file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67" Target="../CASE-STUDY-drift-audi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69" Target="../LEAK-GATE.md" TargetMode="External" /><Relationship Type="http://schemas.openxmlformats.org/officeDocument/2006/relationships/hyperlink" Id="rId66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67" Target="../CASE-STUDY-drift-audi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69" Target="../LEAK-GATE.md" TargetMode="External" /><Relationship Type="http://schemas.openxmlformats.org/officeDocument/2006/relationships/hyperlink" Id="rId66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2026-08-06T04:01:50Z</dcterms:created>
  <dcterms:modified xsi:type="dcterms:W3CDTF">2026-08-06T04:01:50Z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