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securely.</w:t>
      </w:r>
    </w:p>
    <w:p>
      <w:pPr>
        <w:pStyle w:val="BodyText"/>
      </w:pPr>
      <w:r>
        <w:t xml:space="preserve">It answers who owns what, what gets threat modelled, and what a review checks. It also answers which</w:t>
      </w:r>
      <w:r>
        <w:t xml:space="preserve"> </w:t>
      </w:r>
      <w:r>
        <w:t xml:space="preserve">checks may never be waived, how a release is signed and verifiable, and what has to be true on the</w:t>
      </w:r>
      <w:r>
        <w:t xml:space="preserve"> </w:t>
      </w:r>
      <w:r>
        <w:t xml:space="preserve">day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framework-neutral, and it names practices, never certifications. No standards</w:t>
      </w:r>
      <w:r>
        <w:t xml:space="preserve"> </w:t>
      </w:r>
      <w:r>
        <w:t xml:space="preserve">body issues a certificate for any of this, and a self-assessment is not one either. So every claim</w:t>
      </w:r>
      <w:r>
        <w:t xml:space="preserve"> </w:t>
      </w:r>
      <w:r>
        <w:t xml:space="preserve">here 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written by Claude Code, or another AI coding</w:t>
      </w:r>
      <w:r>
        <w:t xml:space="preserve"> </w:t>
      </w:r>
      <w:r>
        <w:t xml:space="preserve">assistant, and several sessions push into one trunk. That is not a special case for this material.</w:t>
      </w:r>
      <w:r>
        <w:t xml:space="preserve"> </w:t>
      </w:r>
      <w:r>
        <w:t xml:space="preserve">It is the case where the process layer stops being paperwork, because the machine-enforced layer</w:t>
      </w:r>
      <w:r>
        <w:t xml:space="preserve"> </w:t>
      </w:r>
      <w:r>
        <w:t xml:space="preserve">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organization owns, so a control cannot end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per-interface threat model turns "does this change</w:t>
      </w:r>
      <w:r>
        <w:t xml:space="preserve"> </w:t>
      </w:r>
      <w:r>
        <w:t xml:space="preserve">look secure" into "which boundary does this touch, and does its named mitigation still hold". A</w:t>
      </w:r>
      <w:r>
        <w:t xml:space="preserve"> </w:t>
      </w:r>
      <w:r>
        <w:t xml:space="preserve">missing control then shows up as a gap in an enumeration rather than as something nobody thought</w:t>
      </w:r>
      <w:r>
        <w:t xml:space="preserve"> </w:t>
      </w:r>
      <w:r>
        <w:t xml:space="preserve">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artifact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 so</w:t>
      </w:r>
      <w:r>
        <w:t xml:space="preserve"> </w:t>
      </w:r>
      <w:r>
        <w:t xml:space="preserve">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signed-artifact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</w:t>
      </w:r>
      <w:r>
        <w:t xml:space="preserve"> </w:t>
      </w:r>
      <w:r>
        <w:t xml:space="preserve">Applying 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</w:t>
      </w:r>
      <w:r>
        <w:t xml:space="preserve"> </w:t>
      </w:r>
      <w:r>
        <w:t xml:space="preserve">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organization's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Start with the ownership split (section 1). One table, one sitting. It is the artifact that makes</w:t>
      </w:r>
      <w:r>
        <w:t xml:space="preserve"> </w:t>
      </w:r>
      <w:r>
        <w:t xml:space="preserve">every later claim scopeable, and most of the arguments it prevents are arguments about who was</w:t>
      </w:r>
      <w:r>
        <w:t xml:space="preserve"> </w:t>
      </w:r>
      <w:r>
        <w:t xml:space="preserve">supposed to do something.</w:t>
      </w:r>
    </w:p>
    <w:p>
      <w:pPr>
        <w:pStyle w:val="BodyText"/>
      </w:pPr>
      <w:r>
        <w:t xml:space="preserve">Then work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interface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artifact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 interface</w:t>
      </w:r>
      <w:r>
        <w:t xml:space="preserve"> </w:t>
      </w:r>
      <w:r>
        <w:t xml:space="preserve">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rPr>
          <w:b/>
          <w:bCs/>
        </w:rPr>
        <w:t xml:space="preserve">A green pipeline from a gate you ran on yourself does not substitute for an adversary who did</w:t>
      </w:r>
      <w:r>
        <w:rPr>
          <w:b/>
          <w:bCs/>
        </w:rPr>
        <w:t xml:space="preserve"> </w:t>
      </w:r>
      <w:r>
        <w:rPr>
          <w:b/>
          <w:bCs/>
        </w:rPr>
        <w:t xml:space="preserve">not.</w:t>
      </w:r>
      <w:r>
        <w:t xml:space="preserve"> </w:t>
      </w:r>
      <w:r>
        <w:t xml:space="preserve">Defects concentrate in the second layer, and a perfect first layer does not compensate for an</w:t>
      </w:r>
      <w:r>
        <w:t xml:space="preserve"> </w:t>
      </w:r>
      <w:r>
        <w:t xml:space="preserve">empty second one. 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boundary. The failure mode is not that somebody</w:t>
      </w:r>
      <w:r>
        <w:t xml:space="preserve"> </w:t>
      </w:r>
      <w:r>
        <w:t xml:space="preserve">does the wrong thing -- it is that both sides assume the other has it covered. Publish the split as</w:t>
      </w:r>
      <w:r>
        <w:t xml:space="preserve"> </w:t>
      </w:r>
      <w:r>
        <w:t xml:space="preserve">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organization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9" w:name="X4e356d55f6461af98c757c608bfb668fd432304"/>
    <w:p>
      <w:pPr>
        <w:pStyle w:val="Heading2"/>
      </w:pPr>
      <w:r>
        <w:t xml:space="preserve">2. Threat model each interface before you build it</w:t>
      </w:r>
    </w:p>
    <w:p>
      <w:pPr>
        <w:pStyle w:val="FirstParagraph"/>
      </w:pPr>
      <w:r>
        <w:t xml:space="preserve">Every interface and component gets a written, lightweight threat model. It enumerates the trust</w:t>
      </w:r>
      <w:r>
        <w:t xml:space="preserve"> </w:t>
      </w:r>
      <w:r>
        <w:t xml:space="preserve">boundaries, names a mitigation for each ingress, and puts a constraining control on each piece of</w:t>
      </w:r>
      <w:r>
        <w:t xml:space="preserve"> </w:t>
      </w:r>
      <w:r>
        <w:t xml:space="preserve">dangerous functionality and each 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specification the later review checks against.</w:t>
      </w:r>
      <w:r>
        <w:t xml:space="preserve"> </w:t>
      </w:r>
      <w:r>
        <w:t xml:space="preserve">The reviewed artifact plus its acceptance</w:t>
      </w:r>
      <w:r>
        <w:t xml:space="preserve"> </w:t>
      </w:r>
      <w:r>
        <w:t xml:space="preserve">criteria are what a change is compared to -- without them, review has nothing but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Artifact-checked and advisory, not a scanner.</w:t>
      </w:r>
      <w:r>
        <w:t xml:space="preserve"> </w:t>
      </w:r>
      <w:r>
        <w:t xml:space="preserve">Do not pretend otherwise: nothing mechanical</w:t>
      </w:r>
      <w:r>
        <w:t xml:space="preserve"> </w:t>
      </w:r>
      <w:r>
        <w:t xml:space="preserve">verifies that a threat model is good, and a gate can only verify that one exists for a boundary</w:t>
      </w:r>
      <w:r>
        <w:t xml:space="preserve"> </w:t>
      </w:r>
      <w:r>
        <w:t xml:space="preserve">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bookmarkStart w:id="18" w:name="Xe95926782a39bd4a0ad092566161170b8cb2e98"/>
    <w:p>
      <w:pPr>
        <w:pStyle w:val="Heading3"/>
      </w:pPr>
      <w:r>
        <w:t xml:space="preserve">Execution boundaries need the longest look</w:t>
      </w:r>
    </w:p>
    <w:p>
      <w:pPr>
        <w:pStyle w:val="FirstParagraph"/>
      </w:pPr>
      <w:r>
        <w:t xml:space="preserve">Trust boundaries where content becomes executable deserve more scrutiny than the rest. These</w:t>
      </w:r>
      <w:r>
        <w:t xml:space="preserve"> </w:t>
      </w:r>
      <w:r>
        <w:t xml:space="preserve">questions generalize:</w:t>
      </w:r>
    </w:p>
    <w:p>
      <w:pPr>
        <w:pStyle w:val="Compact"/>
        <w:numPr>
          <w:ilvl w:val="0"/>
          <w:numId w:val="1006"/>
        </w:numPr>
      </w:pPr>
      <w:r>
        <w:t xml:space="preserve">Is there any path that reaches execution without the vet running? Check every caller, not the</w:t>
      </w:r>
      <w:r>
        <w:t xml:space="preserve"> </w:t>
      </w:r>
      <w:r>
        <w:t xml:space="preserve">documented one.</w:t>
      </w:r>
    </w:p>
    <w:p>
      <w:pPr>
        <w:pStyle w:val="Compact"/>
        <w:numPr>
          <w:ilvl w:val="0"/>
          <w:numId w:val="1006"/>
        </w:numPr>
      </w:pPr>
      <w:r>
        <w:t xml:space="preserve">Does it fail closed, with no silent downgrade when the intended backend is absent?</w:t>
      </w:r>
    </w:p>
    <w:p>
      <w:pPr>
        <w:pStyle w:val="Compact"/>
        <w:numPr>
          <w:ilvl w:val="0"/>
          <w:numId w:val="1006"/>
        </w:numPr>
      </w:pPr>
      <w:r>
        <w:t xml:space="preserve">Is the load target validated against a fixed known set, so input cannot trigger an arbitrary</w:t>
      </w:r>
      <w:r>
        <w:t xml:space="preserve"> </w:t>
      </w:r>
      <w:r>
        <w:t xml:space="preserve">import?</w:t>
      </w:r>
    </w:p>
    <w:p>
      <w:pPr>
        <w:pStyle w:val="Compact"/>
        <w:numPr>
          <w:ilvl w:val="0"/>
          <w:numId w:val="1006"/>
        </w:numPr>
      </w:pPr>
      <w:r>
        <w:t xml:space="preserve">Does the vet cover the whole executable surface or only the obvious top level?</w:t>
      </w:r>
    </w:p>
    <w:p>
      <w:pPr>
        <w:pStyle w:val="Compact"/>
        <w:numPr>
          <w:ilvl w:val="0"/>
          <w:numId w:val="1006"/>
        </w:numPr>
      </w:pPr>
      <w:r>
        <w:t xml:space="preserve">Does it follow links, so a vetted-looking entry can point somewhere writable?</w:t>
      </w:r>
    </w:p>
    <w:p>
      <w:pPr>
        <w:pStyle w:val="Compact"/>
        <w:numPr>
          <w:ilvl w:val="0"/>
          <w:numId w:val="1006"/>
        </w:numPr>
      </w:pPr>
      <w:r>
        <w:t xml:space="preserve">Is the check skipped under a privileged account?</w:t>
      </w:r>
    </w:p>
    <w:p>
      <w:pPr>
        <w:pStyle w:val="Compact"/>
        <w:numPr>
          <w:ilvl w:val="0"/>
          <w:numId w:val="1006"/>
        </w:numPr>
      </w:pPr>
      <w:r>
        <w:t xml:space="preserve">Is there a platform on which the runtime check returns early and does nothing, making the real</w:t>
      </w:r>
      <w:r>
        <w:t xml:space="preserve"> </w:t>
      </w:r>
      <w:r>
        <w:t xml:space="preserve">boundary an install-time filesystem permission somebody has to confirm was applied?</w:t>
      </w:r>
    </w:p>
    <w:p>
      <w:pPr>
        <w:pStyle w:val="FirstParagraph"/>
      </w:pPr>
      <w:r>
        <w:t xml:space="preserve">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and authorization enforced on every action, deny by default.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any interface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rejected. Validate type and size by content rather than</w:t>
      </w:r>
      <w:r>
        <w:t xml:space="preserve"> </w:t>
      </w:r>
      <w:r>
        <w:t xml:space="preserve">extension. Write atomically then rename so a partial file is never processed. Never place files on</w:t>
      </w:r>
      <w:r>
        <w:t xml:space="preserve"> </w:t>
      </w:r>
      <w:r>
        <w:t xml:space="preserve">an executable or served path, and never execute file contents.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more are already owned elsewhere on this site, and are named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it. Both are covered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6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bookmarkStart w:id="22" w:name="X201f980f972ea0e4b6566ffddea29bd74691ffd"/>
    <w:p>
      <w:pPr>
        <w:pStyle w:val="Heading3"/>
      </w:pPr>
      <w:r>
        <w:t xml:space="preserve">Self-review is a documented deviation, not a satisfied control</w:t>
      </w:r>
    </w:p>
    <w:p>
      <w:pPr>
        <w:pStyle w:val="FirstParagraph"/>
      </w:pPr>
      <w:r>
        <w:t xml:space="preserve">Record it as a deviation. Name the control that cannot be met. Name the compensating set actually in</w:t>
      </w:r>
      <w:r>
        <w:t xml:space="preserve"> </w:t>
      </w:r>
      <w:r>
        <w:t xml:space="preserve">force -- typically blocking static analysis and dependency audit that cannot be waived, AI-run review</w:t>
      </w:r>
      <w:r>
        <w:t xml:space="preserve"> </w:t>
      </w:r>
      <w:r>
        <w:t xml:space="preserve">that a human arbitrates, branch protection with required checks, and no direct pushes to the trunk.</w:t>
      </w:r>
      <w:r>
        <w:t xml:space="preserve"> </w:t>
      </w:r>
      <w:r>
        <w:t xml:space="preserve">Name the event that ends the deviation, which is 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bookmarkEnd w:id="22"/>
    <w:bookmarkStart w:id="24" w:name="Xd0ccc971424be3bfc158f34270074304d1beac4"/>
    <w:p>
      <w:pPr>
        <w:pStyle w:val="Heading3"/>
      </w:pPr>
      <w:r>
        <w:t xml:space="preserve">The confidence effect bites hardest in self-review</w:t>
      </w:r>
    </w:p>
    <w:p>
      <w:pPr>
        <w:pStyle w:val="FirstParagraph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access to an AI coding assistant wrote less</w:t>
      </w:r>
      <w:r>
        <w:t xml:space="preserve"> </w:t>
      </w:r>
      <w:r>
        <w:t xml:space="preserve">secure code while being more confident it was secure. The study used a 2022-era model, so</w:t>
      </w:r>
      <w:r>
        <w:t xml:space="preserve"> </w:t>
      </w:r>
      <w:r>
        <w:t xml:space="preserve">re-baseline the magnitude rather than quoting it; the direction is what matters here.</w:t>
      </w:r>
    </w:p>
    <w:p>
      <w:pPr>
        <w:pStyle w:val="BodyText"/>
      </w:pPr>
      <w:r>
        <w:t xml:space="preserve">The citation and its hedge live in one place -- the evidence table in</w:t>
      </w:r>
      <w:r>
        <w:t xml:space="preserve"> </w:t>
      </w:r>
      <w:hyperlink r:id="rId23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</w:p>
    <w:p>
      <w:pPr>
        <w:pStyle w:val="BodyText"/>
      </w:pPr>
      <w:r>
        <w:t xml:space="preserve">That effect bites hardest exactly in the self-review case, which is the argument for the one control</w:t>
      </w:r>
      <w:r>
        <w:t xml:space="preserve"> </w:t>
      </w:r>
      <w:r>
        <w:t xml:space="preserve">independent of the author's confidence: an adversarial check on whether the tests assert anything.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Judge tests by their 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End w:id="24"/>
    <w:bookmarkStart w:id="25" w:name="X8df9a15527c9258113a544c92aa72dbd7dd03b7"/>
    <w:p>
      <w:pPr>
        <w:pStyle w:val="Heading3"/>
      </w:pPr>
      <w:r>
        <w:t xml:space="preserve">The comprehension bar, and two additions to it</w:t>
      </w:r>
    </w:p>
    <w:p>
      <w:pPr>
        <w:pStyle w:val="FirstParagraph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Two small additions are worth carrying. An AI coding assistant's explanation can be confidently</w:t>
      </w:r>
      <w:r>
        <w:t xml:space="preserve"> </w:t>
      </w:r>
      <w:r>
        <w:t xml:space="preserve">wrong in the same way its code can, so the human verifies the explanation rather than accepting it.</w:t>
      </w:r>
      <w:r>
        <w:t xml:space="preserve"> </w:t>
      </w:r>
      <w:r>
        <w:t xml:space="preserve">A 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rPr>
          <w:b/>
          <w:bCs/>
        </w:rPr>
        <w:t xml:space="preserve">Coverage is the set of blocking checks that run on a change, not the tool inventory.</w:t>
      </w:r>
      <w:r>
        <w:t xml:space="preserve"> </w:t>
      </w:r>
      <w:r>
        <w:t xml:space="preserve">Advisory and</w:t>
      </w:r>
      <w:r>
        <w:t xml:space="preserve"> </w:t>
      </w:r>
      <w:r>
        <w:t xml:space="preserve">scheduled-only jobs are useful and are not coverage. Classify every nominally-security job as one or</w:t>
      </w:r>
      <w:r>
        <w:t xml:space="preserve"> </w:t>
      </w:r>
      <w:r>
        <w:t xml:space="preserve">the other and write the classification down, because the two are indistinguishable from a green</w:t>
      </w:r>
      <w:r>
        <w:t xml:space="preserve"> </w:t>
      </w:r>
      <w:r>
        <w:t xml:space="preserve">badge.</w:t>
      </w:r>
    </w:p>
    <w:bookmarkStart w:id="28" w:name="what-must-block-and-may-not-be-waived"/>
    <w:p>
      <w:pPr>
        <w:pStyle w:val="Heading3"/>
      </w:pPr>
      <w:r>
        <w:t xml:space="preserve">What must block, and may not be waived</w:t>
      </w:r>
    </w:p>
    <w:p>
      <w:pPr>
        <w:pStyle w:val="FirstParagraph"/>
      </w:pPr>
      <w:r>
        <w:t xml:space="preserve">The following must block a change, and may not be waived by an author:</w:t>
      </w:r>
    </w:p>
    <w:p>
      <w:pPr>
        <w:pStyle w:val="Compact"/>
        <w:numPr>
          <w:ilvl w:val="0"/>
          <w:numId w:val="1008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8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8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published.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grandfathering to a clean baseline and then ratcheting, and running supply-chain audits on a schedule</w:t>
      </w:r>
      <w:r>
        <w:t xml:space="preserve"> </w:t>
      </w:r>
      <w:r>
        <w:t xml:space="preserve">as well as on changes. It also covers the two-layer shape where a local hook gives fast feedback and</w:t>
      </w:r>
      <w:r>
        <w:t xml:space="preserve"> </w:t>
      </w:r>
      <w:r>
        <w:t xml:space="preserve">the pipeline is the authoritative gate.</w:t>
      </w:r>
    </w:p>
    <w:p>
      <w:pPr>
        <w:pStyle w:val="BodyText"/>
      </w:pPr>
      <w:r>
        <w:t xml:space="preserve">Fail-closed forbidden-content scanning and the three ways a scanner lies are in</w:t>
      </w:r>
      <w:r>
        <w:t xml:space="preserve"> </w:t>
      </w:r>
      <w:hyperlink r:id="rId27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End w:id="28"/>
    <w:bookmarkStart w:id="29" w:name="X8e84579fd545af19ab8cb79c93491972da372eb"/>
    <w:p>
      <w:pPr>
        <w:pStyle w:val="Heading3"/>
      </w:pPr>
      <w:r>
        <w:t xml:space="preserve">Three additions specific to a security posture</w:t>
      </w:r>
    </w:p>
    <w:p>
      <w:pPr>
        <w:pStyle w:val="FirstParagraph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End w:id="29"/>
    <w:bookmarkStart w:id="30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7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scanner.</w:t>
      </w:r>
    </w:p>
    <w:p>
      <w:pPr>
        <w:pStyle w:val="BodyText"/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 about</w:t>
      </w:r>
      <w:r>
        <w:t xml:space="preserve"> </w:t>
      </w:r>
      <w:r>
        <w:t xml:space="preserve">the same content typed into a different file. Pair it with a fail-closed commit-time content scan.</w:t>
      </w:r>
    </w:p>
    <w:p>
      <w:pPr>
        <w:pStyle w:val="BodyText"/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 see</w:t>
      </w:r>
      <w:r>
        <w:t xml:space="preserve"> </w:t>
      </w:r>
      <w:r>
        <w:t xml:space="preserve">an outbound query, a tool-server call, or a fetch argument.</w:t>
      </w:r>
    </w:p>
    <w:p>
      <w:pPr>
        <w:pStyle w:val="BodyText"/>
      </w:pPr>
      <w:r>
        <w:t xml:space="preserve">Nothing mechanical stands between a running agent and that channel, so the discipline there is on the</w:t>
      </w:r>
      <w:r>
        <w:t xml:space="preserve"> </w:t>
      </w:r>
      <w:r>
        <w:t xml:space="preserve">human -- and the standard has to say so, rather than letting the green scanner imply coverage it does</w:t>
      </w:r>
      <w:r>
        <w:t xml:space="preserve"> </w:t>
      </w:r>
      <w:r>
        <w:t xml:space="preserve">not have.</w:t>
      </w:r>
    </w:p>
    <w:p>
      <w:r>
        <w:pict>
          <v:rect style="width:0;height:1.5pt" o:hralign="center" o:hrstd="t" o:hr="t"/>
        </w:pict>
      </w:r>
    </w:p>
    <w:bookmarkEnd w:id="32"/>
    <w:bookmarkStart w:id="33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this, and both are defects in opposite directions.</w:t>
      </w:r>
    </w:p>
    <w:p>
      <w:pPr>
        <w:pStyle w:val="BodyText"/>
      </w:pPr>
      <w:r>
        <w:rPr>
          <w:b/>
          <w:bCs/>
        </w:rPr>
        <w:t xml:space="preserve">Off by default, described as active.</w:t>
      </w:r>
      <w:r>
        <w:t xml:space="preserve"> </w:t>
      </w:r>
      <w:r>
        <w:t xml:space="preserve">The code exists; nothing is running.</w:t>
      </w:r>
    </w:p>
    <w:p>
      <w:pPr>
        <w:pStyle w:val="BodyText"/>
      </w:pPr>
      <w:r>
        <w:rPr>
          <w:b/>
          <w:bCs/>
        </w:rPr>
        <w:t xml:space="preserve">Fail-closed, mis-read as inert.</w:t>
      </w:r>
      <w:r>
        <w:t xml:space="preserve"> </w:t>
      </w:r>
      <w:r>
        <w:t xml:space="preserve">It looks like nothing is happening because nothing needs to.</w:t>
      </w:r>
    </w:p>
    <w:p>
      <w:pPr>
        <w:pStyle w:val="BodyText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X12d3df7a1f09746f1635f81539bb674e3182d29"/>
    <w:p>
      <w:pPr>
        <w:pStyle w:val="Heading2"/>
      </w:pPr>
      <w:r>
        <w:t xml:space="preserve">8. Interface and service authentication</w:t>
      </w:r>
    </w:p>
    <w:p>
      <w:pPr>
        <w:pStyle w:val="FirstParagraph"/>
      </w:pPr>
      <w:r>
        <w:t xml:space="preserve">Machine interfaces authenticate</w:t>
      </w:r>
      <w:r>
        <w:t xml:space="preserve"> </w:t>
      </w:r>
      <w:r>
        <w:rPr>
          <w:b/>
          <w:bCs/>
        </w:rPr>
        <w:t xml:space="preserve">systems, not people</w:t>
      </w:r>
      <w:r>
        <w:t xml:space="preserve">. Use the strongest mechanism the peer system</w:t>
      </w:r>
      <w:r>
        <w:t xml:space="preserve"> </w:t>
      </w:r>
      <w:r>
        <w:t xml:space="preserve">supports.</w:t>
      </w:r>
    </w:p>
    <w:p>
      <w:pPr>
        <w:pStyle w:val="BodyText"/>
      </w:pPr>
      <w:r>
        <w:t xml:space="preserve">Record, per connection, the mechanism, its scope, and a reference to where the credential lives. Keep</w:t>
      </w:r>
      <w:r>
        <w:t xml:space="preserve"> </w:t>
      </w:r>
      <w:r>
        <w:t xml:space="preserve">that record alongside that connection's configuration, so the posture is reviewable one connection at</w:t>
      </w:r>
      <w:r>
        <w:t xml:space="preserve"> </w:t>
      </w:r>
      <w:r>
        <w:t xml:space="preserve">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defense in depth.</w:t>
      </w:r>
    </w:p>
    <w:bookmarkStart w:id="34" w:name="X3d7ee481263114e250585e60a9d5c13e5a28baf"/>
    <w:p>
      <w:pPr>
        <w:pStyle w:val="Heading3"/>
      </w:pPr>
      <w:r>
        <w:t xml:space="preserve">Service accounts: no long-lived secret in a file</w:t>
      </w:r>
    </w:p>
    <w:p>
      <w:pPr>
        <w:pStyle w:val="FirstParagraph"/>
      </w:pPr>
      <w:r>
        <w:t xml:space="preserve">Run under a least-privilege account whose credential rotates automatically and is never stored in</w:t>
      </w:r>
      <w:r>
        <w:t xml:space="preserve"> </w:t>
      </w:r>
      <w:r>
        <w:t xml:space="preserve">configuration. Where the platform offers a managed service identity, use it. Where the data store</w:t>
      </w:r>
      <w:r>
        <w:t xml:space="preserve"> </w:t>
      </w:r>
      <w:r>
        <w:t xml:space="preserve">accepts the service identity directly, authenticate that way rather than with a stored password.</w:t>
      </w:r>
    </w:p>
    <w:p>
      <w:pPr>
        <w:pStyle w:val="BodyText"/>
      </w:pPr>
      <w:r>
        <w:t xml:space="preserve">Perform directory lookups only over a TLS-protected channel and fail closed on a cleartext one. The</w:t>
      </w:r>
      <w:r>
        <w:t xml:space="preserve"> </w:t>
      </w:r>
      <w:r>
        <w:t xml:space="preserve">mechanics are platform-specific; the transferable property is that</w:t>
      </w:r>
      <w:r>
        <w:t xml:space="preserve"> </w:t>
      </w:r>
      <w:r>
        <w:rPr>
          <w:b/>
          <w:bCs/>
        </w:rPr>
        <w:t xml:space="preserve">no long-lived secret exists in a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-- which removes both the most commonly leaked credential and the one whose silent expiry</w:t>
      </w:r>
      <w:r>
        <w:t xml:space="preserve"> </w:t>
      </w:r>
      <w:r>
        <w:t xml:space="preserve">causes the outage nobody diagnoses.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36"/>
    <w:bookmarkStart w:id="40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bookmarkStart w:id="37" w:name="Xca148109ff5f44572641d020555735042fe03e4"/>
    <w:p>
      <w:pPr>
        <w:pStyle w:val="Heading3"/>
      </w:pPr>
      <w:r>
        <w:t xml:space="preserve">Publishing controls, and the limit each one carries</w:t>
      </w:r>
    </w:p>
    <w:p>
      <w:pPr>
        <w:pStyle w:val="FirstParagraph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</w:t>
      </w:r>
    </w:p>
    <w:p>
      <w:pPr>
        <w:pStyle w:val="BodyText"/>
      </w:pPr>
      <w:r>
        <w:t xml:space="preserve">Two conditions travel with it. Restrict the publishing workflow to trusted triggers such as a tag or</w:t>
      </w:r>
      <w:r>
        <w:t xml:space="preserve"> </w:t>
      </w:r>
      <w:r>
        <w:t xml:space="preserve">a push, never to a trigger that grants write credentials to code from an untrusted contributor. And</w:t>
      </w:r>
      <w:r>
        <w:t xml:space="preserve"> </w:t>
      </w:r>
      <w:r>
        <w:t xml:space="preserve">pin the publishing action.</w:t>
      </w:r>
    </w:p>
    <w:p>
      <w:pPr>
        <w:pStyle w:val="BodyText"/>
      </w:pPr>
      <w:r>
        <w:t xml:space="preserve">Per-run credentials do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artifact.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artifact was modified before or after it was built.</w:t>
      </w:r>
    </w:p>
    <w:p>
      <w:pPr>
        <w:pStyle w:val="BodyText"/>
      </w:pPr>
      <w:r>
        <w:t xml:space="preserve">Pair it with a signed attestation binding the distributed filename and its digest to the source</w:t>
      </w:r>
      <w:r>
        <w:t xml:space="preserve"> </w:t>
      </w:r>
      <w:r>
        <w:t xml:space="preserve">repository, workflow and commit that produced it. Record that attestation in a public transparency</w:t>
      </w:r>
      <w:r>
        <w:t xml:space="preserve"> </w:t>
      </w:r>
      <w:r>
        <w:t xml:space="preserve">log and serve it alongside the artifact, so a consumer can check it without contacting you. Neither</w:t>
      </w:r>
      <w:r>
        <w:t xml:space="preserve"> </w:t>
      </w:r>
      <w:r>
        <w:t xml:space="preserve">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</w:t>
      </w:r>
    </w:p>
    <w:p>
      <w:pPr>
        <w:pStyle w:val="BodyText"/>
      </w:pPr>
      <w:r>
        <w:t xml:space="preserve">Where consumers verify on restricted or disconnected networks, bundle the transparency-log inclusion</w:t>
      </w:r>
      <w:r>
        <w:t xml:space="preserve"> </w:t>
      </w:r>
      <w:r>
        <w:t xml:space="preserve">proof with the artifact so 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questions, and both can be near zero 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</w:t>
      </w:r>
      <w:r>
        <w:t xml:space="preserve"> </w:t>
      </w:r>
      <w:r>
        <w:t xml:space="preserve">only about a third of signing keys could be meaningfully verified, and signed files were a fraction</w:t>
      </w:r>
      <w:r>
        <w:t xml:space="preserve"> </w:t>
      </w:r>
      <w:r>
        <w:t xml:space="preserve">of a percent of everything published. Support was withdrawn, and existing signatures are now silently</w:t>
      </w:r>
      <w:r>
        <w:t xml:space="preserve"> </w:t>
      </w:r>
      <w:r>
        <w:t xml:space="preserve">ignored.</w:t>
      </w:r>
    </w:p>
    <w:p>
      <w:pPr>
        <w:pStyle w:val="BodyText"/>
      </w:pPr>
      <w:r>
        <w:t xml:space="preserve">Before crediting a signing control, measure what proportion of artifacts carry a signature and what</w:t>
      </w:r>
      <w:r>
        <w:t xml:space="preserve"> </w:t>
      </w:r>
      <w:r>
        <w:t xml:space="preserve">proportion of those a consumer can resolve to an identity.</w:t>
      </w:r>
    </w:p>
    <w:bookmarkEnd w:id="37"/>
    <w:bookmarkStart w:id="38" w:name="Xe1acf8bcb72e6c414f95b924737381b6debc42f"/>
    <w:p>
      <w:pPr>
        <w:pStyle w:val="Heading3"/>
      </w:pPr>
      <w:r>
        <w:t xml:space="preserve">What an adopter can verify without contacting you</w:t>
      </w:r>
    </w:p>
    <w:p>
      <w:pPr>
        <w:pStyle w:val="FirstParagraph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path.</w:t>
      </w:r>
      <w:r>
        <w:t xml:space="preserve"> </w:t>
      </w:r>
      <w:r>
        <w:t xml:space="preserve">Make it the documented baseline</w:t>
      </w:r>
      <w:r>
        <w:t xml:space="preserve"> </w:t>
      </w:r>
      <w:r>
        <w:t xml:space="preserve">rather than the afterthought. Publish a signed digest manifest with every release and document the</w:t>
      </w:r>
      <w:r>
        <w:t xml:space="preserve"> </w:t>
      </w:r>
      <w:r>
        <w:t xml:space="preserve">exact verification commands, including the offline path. That is the one route a reviewer on a</w:t>
      </w:r>
      <w:r>
        <w:t xml:space="preserve"> </w:t>
      </w:r>
      <w:r>
        <w:t xml:space="preserve">restricted network can always run.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</w:t>
      </w:r>
    </w:p>
    <w:p>
      <w:pPr>
        <w:pStyle w:val="BodyText"/>
      </w:pPr>
      <w:r>
        <w:t xml:space="preserve">Be precise about what it buys: answering "do we ship component X" within minutes of a</w:t>
      </w:r>
      <w:r>
        <w:t xml:space="preserve"> </w:t>
      </w:r>
      <w:r>
        <w:t xml:space="preserve">widely-publicised advisory, drift detection by diffing a produced inventory against the intended</w:t>
      </w:r>
      <w:r>
        <w:t xml:space="preserve"> </w:t>
      </w:r>
      <w:r>
        <w:t xml:space="preserve">manifest, and satisfying procurement reviews. It is not integrity evidence for your own code and must</w:t>
      </w:r>
      <w:r>
        <w:t xml:space="preserve"> </w:t>
      </w:r>
      <w:r>
        <w:t xml:space="preserve">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artifact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artifact contains, gate on it before the upload step, and verify the published artifact once</w:t>
      </w:r>
      <w:r>
        <w:t xml:space="preserve"> </w:t>
      </w:r>
      <w:r>
        <w:t xml:space="preserve">after release, because checking what you built is not checking what shipped.</w:t>
      </w:r>
    </w:p>
    <w:p>
      <w:pPr>
        <w:pStyle w:val="BodyText"/>
      </w:pPr>
      <w:r>
        <w:t xml:space="preserve">The rule and its failure 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End w:id="38"/>
    <w:bookmarkStart w:id="39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artifact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license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anti-debug. The same documentation says its runtime-data protection</w:t>
      </w:r>
      <w:r>
        <w:t xml:space="preserve"> </w:t>
      </w:r>
      <w:r>
        <w:t xml:space="preserve">holds only if the interpreter and its runtime extension are not compromised -- a condition a</w:t>
      </w:r>
      <w:r>
        <w:t xml:space="preserve"> </w:t>
      </w:r>
      <w:r>
        <w:t xml:space="preserve">privileged attacker defeats by definition.</w:t>
      </w:r>
    </w:p>
    <w:p>
      <w:pPr>
        <w:pStyle w:val="BodyText"/>
      </w:pPr>
      <w:r>
        <w:t xml:space="preserve">One native compiler's documentation concedes that its default single-file mode is a self-extracting</w:t>
      </w:r>
      <w:r>
        <w:t xml:space="preserve"> </w:t>
      </w:r>
      <w:r>
        <w:t xml:space="preserve">archive whose contents land on disk for inspection. Bytecode-only distribution is trivially</w:t>
      </w:r>
      <w:r>
        <w:t xml:space="preserve"> </w:t>
      </w:r>
      <w:r>
        <w:t xml:space="preserve">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</w:t>
      </w:r>
    </w:p>
    <w:p>
      <w:pPr>
        <w:pStyle w:val="BodyText"/>
      </w:pPr>
      <w:r>
        <w:t xml:space="preserve">If you do ship a hardened build, position it as raising analysis cost, never as tamper-proof, and keep</w:t>
      </w:r>
      <w:r>
        <w:t xml:space="preserve"> </w:t>
      </w:r>
      <w:r>
        <w:t xml:space="preserve">secrets and authorization decisions out of any artifact an adversary holds.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</w:t>
      </w:r>
    </w:p>
    <w:p>
      <w:pPr>
        <w:pStyle w:val="BodyText"/>
      </w:pPr>
      <w:r>
        <w:t xml:space="preserve">The chain of trust only terminates in hardware measured boot, which is a platform decision the</w:t>
      </w:r>
      <w:r>
        <w:t xml:space="preserve"> </w:t>
      </w:r>
      <w:r>
        <w:t xml:space="preserve">operator makes and not something the software ships. Ship the check as defense in depth, document the</w:t>
      </w:r>
      <w:r>
        <w:t xml:space="preserve"> </w:t>
      </w:r>
      <w:r>
        <w:t xml:space="preserve">limit in the same paragraph as the feature, and never let it 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behavior hooked at load time. Say so explicitly rather than letting the control list</w:t>
      </w:r>
      <w:r>
        <w:t xml:space="preserve"> </w:t>
      </w:r>
      <w:r>
        <w:t xml:space="preserve">imply prevention.</w:t>
      </w:r>
    </w:p>
    <w:p>
      <w:pPr>
        <w:pStyle w:val="BodyText"/>
      </w:pPr>
      <w:r>
        <w:t xml:space="preserve">What is achievable is to make tampering noisy, costly and detectable, to produce audit evidence, and</w:t>
      </w:r>
      <w:r>
        <w:t xml:space="preserve"> </w:t>
      </w:r>
      <w:r>
        <w:t xml:space="preserve">to push the trust root as low as the operator is willing to go.</w:t>
      </w:r>
    </w:p>
    <w:bookmarkStart w:id="41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These controls are all stronger than any application-level control named above, and none of them are</w:t>
      </w:r>
      <w:r>
        <w:t xml:space="preserve"> </w:t>
      </w:r>
      <w:r>
        <w:t xml:space="preserve">yours:</w:t>
      </w:r>
    </w:p>
    <w:p>
      <w:pPr>
        <w:pStyle w:val="Compact"/>
        <w:numPr>
          <w:ilvl w:val="0"/>
          <w:numId w:val="1010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0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0"/>
        </w:numPr>
      </w:pPr>
      <w:r>
        <w:t xml:space="preserve">least-privilege file ownership so the running account cannot rewrite its own code</w:t>
      </w:r>
    </w:p>
    <w:p>
      <w:pPr>
        <w:pStyle w:val="Compact"/>
        <w:numPr>
          <w:ilvl w:val="0"/>
          <w:numId w:val="1010"/>
        </w:numPr>
      </w:pPr>
      <w:r>
        <w:t xml:space="preserve">confinement under a mandatory access control system</w:t>
      </w:r>
    </w:p>
    <w:p>
      <w:pPr>
        <w:pStyle w:val="Compact"/>
        <w:numPr>
          <w:ilvl w:val="0"/>
          <w:numId w:val="1010"/>
        </w:numPr>
      </w:pPr>
      <w:r>
        <w:t xml:space="preserve">signed-artifact admission control that rejects anything unsigned</w:t>
      </w:r>
    </w:p>
    <w:p>
      <w:pPr>
        <w:pStyle w:val="FirstParagraph"/>
      </w:pPr>
      <w:r>
        <w:t xml:space="preserve">Ship a hardening guide with a concrete list of paths to monitor and example rules, so the operator has</w:t>
      </w:r>
      <w:r>
        <w:t xml:space="preserve"> </w:t>
      </w:r>
      <w:r>
        <w:t xml:space="preserve">something to apply on day one rather than a category name.</w:t>
      </w:r>
    </w:p>
    <w:bookmarkEnd w:id="41"/>
    <w:bookmarkStart w:id="42" w:name="X438150f8dfc89784d5bd3543f347a17625c0f0c"/>
    <w:p>
      <w:pPr>
        <w:pStyle w:val="Heading3"/>
      </w:pPr>
      <w:r>
        <w:t xml:space="preserve">Roll out a blocking verification control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t xml:space="preserve">own 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1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1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1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1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</w:t>
      </w:r>
    </w:p>
    <w:p>
      <w:pPr>
        <w:pStyle w:val="BodyText"/>
      </w:pPr>
      <w:r>
        <w:t xml:space="preserve">Pick per finding class, say which, and track the waiting period itself, so an unfixable advisory is</w:t>
      </w:r>
      <w:r>
        <w:t xml:space="preserve"> </w:t>
      </w:r>
      <w:r>
        <w:t xml:space="preserve">visible rather than silently blowing a window.</w:t>
      </w:r>
    </w:p>
    <w:p>
      <w:r>
        <w:pict>
          <v:rect style="width:0;height:1.5pt" o:hralign="center" o:hrstd="t" o:hr="t"/>
        </w:pict>
      </w:r>
    </w:p>
    <w:bookmarkEnd w:id="44"/>
    <w:bookmarkStart w:id="45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generalized form -- a generalized</w:t>
      </w:r>
      <w:r>
        <w:t xml:space="preserve"> </w:t>
      </w:r>
      <w:r>
        <w:t xml:space="preserve">list of the places a class of software is typically weak is the same artifact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45"/>
    <w:bookmarkStart w:id="47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context.</w:t>
      </w:r>
    </w:p>
    <w:p>
      <w:pPr>
        <w:pStyle w:val="BodyText"/>
      </w:pPr>
      <w:r>
        <w:t xml:space="preserve">A bare "not yet performed" with no explanation reads as negligence. But "not yet performed, and here</w:t>
      </w:r>
      <w:r>
        <w:t xml:space="preserve"> </w:t>
      </w:r>
      <w:r>
        <w:t xml:space="preserve">is the 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organization.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</w:t>
      </w:r>
    </w:p>
    <w:p>
      <w:pPr>
        <w:pStyle w:val="BodyText"/>
      </w:pPr>
      <w:r>
        <w:t xml:space="preserve">This is a correction to an earlier version of this material, which stated the independent review as a</w:t>
      </w:r>
      <w:r>
        <w:t xml:space="preserve"> </w:t>
      </w:r>
      <w:r>
        <w:t xml:space="preserve">precondition for production exposure -- an over-reach for software the producer does not operate.</w:t>
      </w:r>
    </w:p>
    <w:p>
      <w:pPr>
        <w:pStyle w:val="BodyText"/>
      </w:pPr>
      <w:r>
        <w:t xml:space="preserve">If you are running a formal assessment against a published verification standard, the method for it is</w:t>
      </w:r>
      <w:r>
        <w:t xml:space="preserve"> </w:t>
      </w:r>
      <w:r>
        <w:t xml:space="preserve">covered in</w:t>
      </w:r>
      <w:r>
        <w:t xml:space="preserve"> </w:t>
      </w:r>
      <w:hyperlink r:id="rId46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That</w:t>
      </w:r>
      <w:r>
        <w:t xml:space="preserve"> </w:t>
      </w:r>
      <w:r>
        <w:t xml:space="preserve">covers:</w:t>
      </w:r>
    </w:p>
    <w:p>
      <w:pPr>
        <w:pStyle w:val="Compact"/>
        <w:numPr>
          <w:ilvl w:val="0"/>
          <w:numId w:val="1012"/>
        </w:numPr>
      </w:pPr>
      <w:r>
        <w:t xml:space="preserve">verdict vocabulary</w:t>
      </w:r>
    </w:p>
    <w:p>
      <w:pPr>
        <w:pStyle w:val="Compact"/>
        <w:numPr>
          <w:ilvl w:val="0"/>
          <w:numId w:val="1012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</w:t>
      </w:r>
    </w:p>
    <w:p>
      <w:pPr>
        <w:pStyle w:val="Compact"/>
        <w:numPr>
          <w:ilvl w:val="0"/>
          <w:numId w:val="1012"/>
        </w:numPr>
      </w:pPr>
      <w:r>
        <w:t xml:space="preserve">evidence anchors a machine can re-check</w:t>
      </w:r>
    </w:p>
    <w:p>
      <w:pPr>
        <w:pStyle w:val="Compact"/>
        <w:numPr>
          <w:ilvl w:val="0"/>
          <w:numId w:val="1012"/>
        </w:numPr>
      </w:pPr>
      <w:r>
        <w:t xml:space="preserve">pinning the standard's corpus</w:t>
      </w:r>
    </w:p>
    <w:p>
      <w:pPr>
        <w:pStyle w:val="Compact"/>
        <w:numPr>
          <w:ilvl w:val="0"/>
          <w:numId w:val="1012"/>
        </w:numPr>
      </w:pPr>
      <w:r>
        <w:t xml:space="preserve">how to read a movement in a score</w:t>
      </w:r>
    </w:p>
    <w:p>
      <w:pPr>
        <w:pStyle w:val="FirstParagraph"/>
      </w:pPr>
      <w:r>
        <w:t xml:space="preserve">Do not build a second procedure beside it.</w:t>
      </w:r>
    </w:p>
    <w:p>
      <w:r>
        <w:pict>
          <v:rect style="width:0;height:1.5pt" o:hralign="center" o:hrstd="t" o:hr="t"/>
        </w:pict>
      </w:r>
    </w:p>
    <w:bookmarkEnd w:id="47"/>
    <w:bookmarkStart w:id="49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judgment:</w:t>
      </w:r>
    </w:p>
    <w:p>
      <w:pPr>
        <w:pStyle w:val="Compact"/>
        <w:numPr>
          <w:ilvl w:val="0"/>
          <w:numId w:val="1013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3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3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3"/>
        </w:numPr>
      </w:pPr>
      <w:r>
        <w:t xml:space="preserve">Updated evidence.</w:t>
      </w:r>
    </w:p>
    <w:p>
      <w:pPr>
        <w:pStyle w:val="Compact"/>
        <w:numPr>
          <w:ilvl w:val="0"/>
          <w:numId w:val="1013"/>
        </w:numPr>
      </w:pPr>
      <w:r>
        <w:t xml:space="preserve">A signed artifact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48" w:name="X6bf3214004d99c2dac31ed30d2dbee672c0e4ba"/>
    <w:p>
      <w:pPr>
        <w:pStyle w:val="Heading3"/>
      </w:pPr>
      <w:r>
        <w:t xml:space="preserve">Confirm the control plane before reading any code</w:t>
      </w:r>
    </w:p>
    <w:p>
      <w:pPr>
        <w:pStyle w:val="FirstParagraph"/>
      </w:pPr>
      <w:r>
        <w:t xml:space="preserve">Confirming the control plane is a separate pass from reading code, and it comes first. 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</w:t>
      </w:r>
    </w:p>
    <w:p>
      <w:pPr>
        <w:pStyle w:val="BodyText"/>
      </w:pPr>
      <w:r>
        <w:t xml:space="preserve">Review the scanner suppression list explicitly rather than accepting it, because a suppressed rule</w:t>
      </w:r>
      <w:r>
        <w:t xml:space="preserve"> </w:t>
      </w:r>
      <w:r>
        <w:t xml:space="preserve">class is a control that has been turned off. Mark which nominally-security jobs are advisory and do</w:t>
      </w:r>
      <w:r>
        <w:t xml:space="preserve"> </w:t>
      </w:r>
      <w:r>
        <w:t xml:space="preserve">not count those as coverage. Only then spend line-by-line reading on what the automated controls</w:t>
      </w:r>
      <w:r>
        <w:t xml:space="preserve"> </w:t>
      </w:r>
      <w:r>
        <w:t xml:space="preserve">cannot cover.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</w:t>
      </w:r>
    </w:p>
    <w:p>
      <w:pPr>
        <w:pStyle w:val="BodyText"/>
      </w:pPr>
      <w:r>
        <w:t xml:space="preserve">The general rule, with the honesty-state tagging and the claims register that goes with it, is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. Four things are specific to a security claim: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artifacts confers nothing.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</w:t>
      </w:r>
    </w:p>
    <w:p>
      <w:pPr>
        <w:pStyle w:val="FirstParagraph"/>
      </w:pPr>
      <w:r>
        <w:t xml:space="preserve">That last one is the state-it-once rule applied to the one class of fact where being wrong is most</w:t>
      </w:r>
      <w:r>
        <w:t xml:space="preserve"> </w:t>
      </w:r>
      <w:r>
        <w:t xml:space="preserve">expensive.</w:t>
      </w:r>
    </w:p>
    <w:p>
      <w:pPr>
        <w:pStyle w:val="BodyText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50"/>
    <w:bookmarkStart w:id="51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interface before the build; name a mitigation per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artifact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waive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Each of these is a compensating control resting on a</w:t>
      </w:r>
      <w:r>
        <w:t xml:space="preserve"> </w:t>
      </w:r>
      <w:r>
        <w:t xml:space="preserve">false premise: an in-process integrity check that is described without the bootstrap-trust limit, a</w:t>
      </w:r>
      <w:r>
        <w:t xml:space="preserve"> </w:t>
      </w:r>
      <w:r>
        <w:t xml:space="preserve">component inventory described as tamper detection, or a self-assessment described as verification.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52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17"/>
        </w:numPr>
      </w:pPr>
      <w:hyperlink r:id="rId27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17"/>
        </w:numPr>
      </w:pPr>
      <w:hyperlink r:id="rId46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17"/>
        </w:numPr>
      </w:pPr>
      <w:hyperlink r:id="rId53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artifact</w:t>
      </w:r>
    </w:p>
    <w:p>
      <w:pPr>
        <w:pStyle w:val="Compact"/>
        <w:numPr>
          <w:ilvl w:val="0"/>
          <w:numId w:val="1017"/>
        </w:numPr>
      </w:pPr>
      <w:hyperlink r:id="rId5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../ASVS-ASSESSMENT.md" TargetMode="External" /><Relationship Type="http://schemas.openxmlformats.org/officeDocument/2006/relationships/hyperlink" Id="rId53" Target="../CASE-STUDY-drift-audit.md" TargetMode="External" /><Relationship Type="http://schemas.openxmlformats.org/officeDocument/2006/relationships/hyperlink" Id="rId20" Target="../CI-AND-STANDARDS.md" TargetMode="External" /><Relationship Type="http://schemas.openxmlformats.org/officeDocument/2006/relationships/hyperlink" Id="rId27" Target="../LEAK-GATE.md" TargetMode="External" /><Relationship Type="http://schemas.openxmlformats.org/officeDocument/2006/relationships/hyperlink" Id="rId54" Target="../TIPS-AND-TRICKS.md" TargetMode="External" /><Relationship Type="http://schemas.openxmlformats.org/officeDocument/2006/relationships/hyperlink" Id="rId23" Target="CODE-QUALITY.md#the-evidence-and-the-hedge-each-citation-must-carry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ASVS-ASSESSMENT.md" TargetMode="External" /><Relationship Type="http://schemas.openxmlformats.org/officeDocument/2006/relationships/hyperlink" Id="rId53" Target="../CASE-STUDY-drift-audit.md" TargetMode="External" /><Relationship Type="http://schemas.openxmlformats.org/officeDocument/2006/relationships/hyperlink" Id="rId20" Target="../CI-AND-STANDARDS.md" TargetMode="External" /><Relationship Type="http://schemas.openxmlformats.org/officeDocument/2006/relationships/hyperlink" Id="rId27" Target="../LEAK-GATE.md" TargetMode="External" /><Relationship Type="http://schemas.openxmlformats.org/officeDocument/2006/relationships/hyperlink" Id="rId54" Target="../TIPS-AND-TRICKS.md" TargetMode="External" /><Relationship Type="http://schemas.openxmlformats.org/officeDocument/2006/relationships/hyperlink" Id="rId23" Target="CODE-QUALITY.md#the-evidence-and-the-hedge-each-citation-must-carry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2026-08-06T04:01:50Z</dcterms:created>
  <dcterms:modified xsi:type="dcterms:W3CDTF">2026-08-06T04:01:50Z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