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Consult this while working, already knowing what you are looking for.</w:t>
      </w:r>
      <w:r>
        <w:t xml:space="preserve"> </w:t>
      </w:r>
      <w:r>
        <w:t xml:space="preserve">If</w:t>
      </w:r>
      <w:r>
        <w:t xml:space="preserve"> </w:t>
      </w:r>
      <w:r>
        <w:t xml:space="preserve">instead you are trying to work out which of these reaches you at all, read</w:t>
      </w:r>
      <w:r>
        <w:t xml:space="preserve"> </w:t>
      </w:r>
      <w:hyperlink r:id="rId9">
        <w:r>
          <w:rPr>
            <w:rStyle w:val="Hyperlink"/>
          </w:rPr>
          <w:t xml:space="preserve">the guide</w:t>
        </w:r>
      </w:hyperlink>
      <w:r>
        <w:t xml:space="preserve"> </w:t>
      </w:r>
      <w:r>
        <w:t xml:space="preserve">-- it is the same facts organized around your situation rather</w:t>
      </w:r>
      <w:r>
        <w:t xml:space="preserve"> </w:t>
      </w:r>
      <w:r>
        <w:t xml:space="preserve">than around the documents, and it carries an interactive selector on the served site.</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pPr>
        <w:pStyle w:val="FirstParagraph"/>
      </w:pPr>
      <w:r>
        <w:rPr>
          <w:b/>
          <w:bCs/>
        </w:rPr>
        <w:t xml:space="preserve">Every status below was checked on 2026-08-06, and that date is stated once rather than repeated in</w:t>
      </w:r>
      <w:r>
        <w:rPr>
          <w:b/>
          <w:bCs/>
        </w:rPr>
        <w:t xml:space="preserve"> </w:t>
      </w:r>
      <w:r>
        <w:rPr>
          <w:b/>
          <w:bCs/>
        </w:rPr>
        <w:t xml:space="preserve">every cell.</w:t>
      </w:r>
      <w:r>
        <w:t xml:space="preserve"> </w:t>
      </w:r>
      <w:r>
        <w:t xml:space="preserve">Where a cell says "the check date", it means that date. This is a snapshot, not a</w:t>
      </w:r>
      <w:r>
        <w:t xml:space="preserve"> </w:t>
      </w:r>
      <w:r>
        <w:t xml:space="preserve">maintained register: several of these facts changed within the twelve months before it, and some will</w:t>
      </w:r>
      <w:r>
        <w:t xml:space="preserve"> </w:t>
      </w:r>
      <w:r>
        <w:t xml:space="preserve">have changed since.</w:t>
      </w:r>
    </w:p>
    <w:p>
      <w:pPr>
        <w:pStyle w:val="BodyText"/>
      </w:pPr>
      <w:r>
        <w:rPr>
          <w:b/>
          <w:bCs/>
        </w:rPr>
        <w:t xml:space="preserve">At least these items.</w:t>
      </w:r>
      <w:r>
        <w:t xml:space="preserve"> </w:t>
      </w:r>
      <w:r>
        <w:t xml:space="preserve">This is not a complete map of the security standards landscape and does not</w:t>
      </w:r>
      <w:r>
        <w:t xml:space="preserve"> </w:t>
      </w:r>
      <w:r>
        <w:t xml:space="preserve">claim to be.</w:t>
      </w:r>
      <w:r>
        <w:t xml:space="preserve"> </w:t>
      </w:r>
      <w:hyperlink r:id="rId13">
        <w:r>
          <w:rPr>
            <w:rStyle w:val="Hyperlink"/>
          </w:rPr>
          <w:t xml:space="preserve">What the guide did not assess</w:t>
        </w:r>
      </w:hyperlink>
      <w:r>
        <w:t xml:space="preserve"> </w:t>
      </w:r>
      <w:r>
        <w:t xml:space="preserve">names what is missing on purpose, and you should not read its silence as coverage. Nothing here is</w:t>
      </w:r>
      <w:r>
        <w:t xml:space="preserve"> </w:t>
      </w:r>
      <w:r>
        <w:t xml:space="preserve">legal advice, and nothing here says that any of it reaches your organization -- a clause number</w:t>
      </w:r>
      <w:r>
        <w:t xml:space="preserve"> </w:t>
      </w:r>
      <w:r>
        <w:t xml:space="preserve">decides that.</w:t>
      </w:r>
    </w:p>
    <w:p>
      <w:pPr>
        <w:pStyle w:val="BodyText"/>
      </w:pPr>
      <w:r>
        <w:rPr>
          <w:b/>
          <w:bCs/>
        </w:rPr>
        <w:t xml:space="preserve">Sorted by who each document is addressed to</w:t>
      </w:r>
      <w:r>
        <w:t xml:space="preserve">, which is the most stable fact about it: status,</w:t>
      </w:r>
      <w:r>
        <w:t xml:space="preserve"> </w:t>
      </w:r>
      <w:r>
        <w:t xml:space="preserve">trigger and enforcement machinery change constantly, and the audience almost never does. The cut is</w:t>
      </w:r>
      <w:r>
        <w:t xml:space="preserve"> </w:t>
      </w:r>
      <w:r>
        <w:t xml:space="preserve">explained in</w:t>
      </w:r>
      <w:r>
        <w:t xml:space="preserve"> </w:t>
      </w:r>
      <w:hyperlink r:id="rId14">
        <w:r>
          <w:rPr>
            <w:rStyle w:val="Hyperlink"/>
          </w:rPr>
          <w:t xml:space="preserve">the guide</w:t>
        </w:r>
      </w:hyperlink>
      <w:r>
        <w:t xml:space="preserve">. Every item appears in</w:t>
      </w:r>
      <w:r>
        <w:t xml:space="preserve"> </w:t>
      </w:r>
      <w:r>
        <w:t xml:space="preserve">exactly one table.</w:t>
      </w:r>
    </w:p>
    <w:p>
      <w:r>
        <w:pict>
          <v:rect style="width:0;height:1.5pt" o:hralign="center" o:hrstd="t" o:hr="t"/>
        </w:pict>
      </w:r>
    </w:p>
    <w:bookmarkStart w:id="15"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5"/>
    <w:bookmarkStart w:id="19" w:name="addressed-to-a-software-producer"/>
    <w:p>
      <w:pPr>
        <w:pStyle w:val="Heading2"/>
      </w:pPr>
      <w:r>
        <w:t xml:space="preserve">Addressed to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7"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w:t>
      </w:r>
    </w:p>
    <w:p>
      <w:pPr>
        <w:pStyle w:val="BodyText"/>
      </w:pPr>
      <w:r>
        <w:t xml:space="preserve">Component inventory and build provenance as controls -- rather than as any named framework -- are</w:t>
      </w:r>
      <w:r>
        <w:t xml:space="preserve"> </w:t>
      </w:r>
      <w:r>
        <w:t xml:space="preserve">covered in</w:t>
      </w:r>
      <w:r>
        <w:t xml:space="preserve"> </w:t>
      </w:r>
      <w:hyperlink r:id="rId16">
        <w:r>
          <w:rPr>
            <w:rStyle w:val="Hyperlink"/>
          </w:rPr>
          <w:t xml:space="preserve">Dependency integrity</w:t>
        </w:r>
      </w:hyperlink>
      <w:r>
        <w:t xml:space="preserve">, which names no baseline and claims</w:t>
      </w:r>
      <w:r>
        <w:t xml:space="preserve"> </w:t>
      </w:r>
      <w:r>
        <w:t xml:space="preserve">correspondence with none.</w:t>
      </w:r>
    </w:p>
    <w:bookmarkEnd w:id="17"/>
    <w:bookmarkStart w:id="18"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8"/>
    <w:bookmarkEnd w:id="19"/>
    <w:bookmarkStart w:id="25" w:name="X098e3a8f26fc13ca3ead059c5f4e902207fd433"/>
    <w:p>
      <w:pPr>
        <w:pStyle w:val="Heading2"/>
      </w:pPr>
      <w:r>
        <w:t xml:space="preserve">Addressed to an organization that operates systems</w:t>
      </w:r>
    </w:p>
    <w:p>
      <w:pPr>
        <w:pStyle w:val="FirstParagraph"/>
      </w:pPr>
      <w:r>
        <w:t xml:space="preserve">None of these certifies a product, and all of them are routinely offered as product evidence. Where</w:t>
      </w:r>
      <w:r>
        <w:t xml:space="preserve"> </w:t>
      </w:r>
      <w:r>
        <w:t xml:space="preserve">one reaches a software producer, it reaches them through a contract rather than through the regime.</w:t>
      </w:r>
      <w:r>
        <w:t xml:space="preserve"> </w:t>
      </w:r>
      <w:r>
        <w:t xml:space="preserve">Why that distinction is the most useful sentence on the whole subject is in</w:t>
      </w:r>
      <w:r>
        <w:t xml:space="preserve"> </w:t>
      </w:r>
      <w:hyperlink r:id="rId20">
        <w:r>
          <w:rPr>
            <w:rStyle w:val="Hyperlink"/>
          </w:rPr>
          <w:t xml:space="preserve">the guide</w:t>
        </w:r>
      </w:hyperlink>
      <w:r>
        <w:t xml:space="preserve">.</w:t>
      </w:r>
    </w:p>
    <w:bookmarkStart w:id="21"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leveraging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1"/>
    <w:bookmarkStart w:id="22"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reaches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reach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2"/>
    <w:bookmarkStart w:id="24"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 data. Most questions arrive attached to the 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reaches you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 data.</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The release-versus-revision trap in the control catalog, with the producer-versus-operator</w:t>
      </w:r>
      <w:r>
        <w:t xml:space="preserve"> </w:t>
      </w:r>
      <w:r>
        <w:t xml:space="preserve">split that decides who owns a control at all, sits in</w:t>
      </w:r>
      <w:r>
        <w:t xml:space="preserve"> </w:t>
      </w:r>
      <w:hyperlink r:id="rId23">
        <w:r>
          <w:rPr>
            <w:rStyle w:val="Hyperlink"/>
          </w:rPr>
          <w:t xml:space="preserve">Secure development</w:t>
        </w:r>
      </w:hyperlink>
      <w:r>
        <w:t xml:space="preserve"> </w:t>
      </w:r>
      <w:r>
        <w:t xml:space="preserve">rather than here.</w:t>
      </w:r>
    </w:p>
    <w:p>
      <w:r>
        <w:pict>
          <v:rect style="width:0;height:1.5pt" o:hralign="center" o:hrstd="t" o:hr="t"/>
        </w:pict>
      </w:r>
    </w:p>
    <w:bookmarkEnd w:id="24"/>
    <w:bookmarkEnd w:id="25"/>
    <w:bookmarkStart w:id="26" w:name="addressed-to-an-assessor"/>
    <w:p>
      <w:pPr>
        <w:pStyle w:val="Heading2"/>
      </w:pPr>
      <w:r>
        <w:t xml:space="preserve">Addressed to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reaches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reaches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"Addressed to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6"/>
    <w:bookmarkStart w:id="28" w:name="Xec900c179c77a160799081f930559b144a7abc9"/>
    <w:p>
      <w:pPr>
        <w:pStyle w:val="Heading2"/>
      </w:pPr>
      <w:r>
        <w:t xml:space="preserve">Addressed to nobody: infrastructure and vocabulary</w:t>
      </w:r>
    </w:p>
    <w:p>
      <w:pPr>
        <w:pStyle w:val="FirstParagraph"/>
      </w:pPr>
      <w:r>
        <w:t xml:space="preserve">You cannot conform to any of these, and knowing that ends several arguments. They are the vocabulary</w:t>
      </w:r>
      <w:r>
        <w:t xml:space="preserve"> </w:t>
      </w:r>
      <w:r>
        <w:t xml:space="preserve">the rest of this page is written in.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Every dependency policy and every scanner.</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7">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8"/>
    <w:bookmarkStart w:id="29"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each also marked in</w:t>
      </w:r>
      <w:r>
        <w:t xml:space="preserve"> </w:t>
      </w:r>
      <w:r>
        <w:t xml:space="preserve">its own cell: the suspension of the defense program phases beyond the first; the standing of the class</w:t>
      </w:r>
      <w:r>
        <w:t xml:space="preserve"> </w:t>
      </w:r>
      <w:r>
        <w:t xml:space="preserve">deviation that pins the safeguarding clause to an earlier revision; the audit baseline for the</w:t>
      </w:r>
      <w:r>
        <w:t xml:space="preserve"> </w:t>
      </w:r>
      <w:r>
        <w:t xml:space="preserve">law-enforcement-data policy; the certificate transition end date for the 2013 management-system</w:t>
      </w:r>
      <w:r>
        <w:t xml:space="preserve"> </w:t>
      </w:r>
      <w:r>
        <w:t xml:space="preserve">edition; the projected date for the pending sector-rule overhaul; the finalization date of the current</w:t>
      </w:r>
      <w:r>
        <w:t xml:space="preserve"> </w:t>
      </w:r>
      <w:r>
        <w:t xml:space="preserve">web application ranking; the tier detail for the validated-assessment program; and the model version</w:t>
      </w:r>
      <w:r>
        <w:t xml:space="preserve"> </w:t>
      </w:r>
      <w:r>
        <w:t xml:space="preserve">behind the published exploit-probability scores.</w:t>
      </w:r>
    </w:p>
    <w:p>
      <w:pPr>
        <w:pStyle w:val="BodyText"/>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29"/>
    <w:bookmarkStart w:id="31" w:name="where-to-re-check-a-status"/>
    <w:p>
      <w:pPr>
        <w:pStyle w:val="Heading2"/>
      </w:pPr>
      <w:r>
        <w:t xml:space="preserve">Where to re-check a status</w:t>
      </w:r>
    </w:p>
    <w:p>
      <w:pPr>
        <w:pStyle w:val="FirstParagraph"/>
      </w:pPr>
      <w:r>
        <w:t xml:space="preserve">A status is authoritative in at least four places, listed with their live examples in</w:t>
      </w:r>
      <w:r>
        <w:t xml:space="preserve"> </w:t>
      </w:r>
      <w:hyperlink r:id="rId30">
        <w:r>
          <w:rPr>
            <w:rStyle w:val="Hyperlink"/>
          </w:rPr>
          <w:t xml:space="preserve">the guide</w:t>
        </w:r>
      </w:hyperlink>
      <w:r>
        <w:t xml:space="preserve">: the publisher's own</w:t>
      </w:r>
      <w:r>
        <w:t xml:space="preserve"> </w:t>
      </w:r>
      <w:r>
        <w:t xml:space="preserve">publications listing, the program's own definitions page, the clause plus any deviation that modifies</w:t>
      </w:r>
      <w:r>
        <w:t xml:space="preserve"> </w:t>
      </w:r>
      <w:r>
        <w:t xml:space="preserve">it, and the data file's own header for a generated score.</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CODE-QUALITY.md" TargetMode="External" /><Relationship Type="http://schemas.openxmlformats.org/officeDocument/2006/relationships/hyperlink" Id="rId16" Target="DEPENDENCY-INTEGRITY.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STANDARDS-LANDSCAPE.md" TargetMode="External" /><Relationship Type="http://schemas.openxmlformats.org/officeDocument/2006/relationships/hyperlink" Id="rId30" Target="STANDARDS-LANDSCAPE.md#sources-and-how-to-re-check-them" TargetMode="External" /><Relationship Type="http://schemas.openxmlformats.org/officeDocument/2006/relationships/hyperlink" Id="rId20" Target="STANDARDS-LANDSCAPE.md#the-organization-layer-is-not-the-software-layer" TargetMode="External" /><Relationship Type="http://schemas.openxmlformats.org/officeDocument/2006/relationships/hyperlink" Id="rId13" Target="STANDARDS-LANDSCAPE.md#what-this-page-did-not-assess" TargetMode="External" /><Relationship Type="http://schemas.openxmlformats.org/officeDocument/2006/relationships/hyperlink" Id="rId14" Target="STANDARDS-LANDSCAPE.md#who-a-document-is-addressed-to"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27" Target="CODE-QUALITY.md" TargetMode="External" /><Relationship Type="http://schemas.openxmlformats.org/officeDocument/2006/relationships/hyperlink" Id="rId16" Target="DEPENDENCY-INTEGRITY.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STANDARDS-LANDSCAPE.md" TargetMode="External" /><Relationship Type="http://schemas.openxmlformats.org/officeDocument/2006/relationships/hyperlink" Id="rId30" Target="STANDARDS-LANDSCAPE.md#sources-and-how-to-re-check-them" TargetMode="External" /><Relationship Type="http://schemas.openxmlformats.org/officeDocument/2006/relationships/hyperlink" Id="rId20" Target="STANDARDS-LANDSCAPE.md#the-organization-layer-is-not-the-software-layer" TargetMode="External" /><Relationship Type="http://schemas.openxmlformats.org/officeDocument/2006/relationships/hyperlink" Id="rId13" Target="STANDARDS-LANDSCAPE.md#what-this-page-did-not-assess" TargetMode="External" /><Relationship Type="http://schemas.openxmlformats.org/officeDocument/2006/relationships/hyperlink" Id="rId14" Target="STANDARDS-LANDSCAPE.md#who-a-document-is-addressed-to"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2026-08-06T13:36:46Z</dcterms:created>
  <dcterms:modified xsi:type="dcterms:W3CDTF">2026-08-06T13:36:46Z</dcterms:modified>
</cp:coreProperties>
</file>

<file path=docProps/custom.xml><?xml version="1.0" encoding="utf-8"?>
<Properties xmlns="http://schemas.openxmlformats.org/officeDocument/2006/custom-properties" xmlns:vt="http://schemas.openxmlformats.org/officeDocument/2006/docPropsVTypes"/>
</file>