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c4266042f61b8b129a9b13fd84e08e788fd59dd"/>
    <w:p>
      <w:pPr>
        <w:pStyle w:val="Heading1"/>
      </w:pPr>
      <w:r>
        <w:t xml:space="preserve">What to ask a software vendor for, and what each answer proves</w:t>
      </w:r>
    </w:p>
    <w:p>
      <w:pPr>
        <w:pStyle w:val="FirstParagraph"/>
      </w:pPr>
      <w:r>
        <w:rPr>
          <w:b/>
          <w:bCs/>
        </w:rPr>
        <w:t xml:space="preserve">The mirror of the standards map: that one answers which of these reach your own organization, this</w:t>
      </w:r>
      <w:r>
        <w:rPr>
          <w:b/>
          <w:bCs/>
        </w:rPr>
        <w:t xml:space="preserve"> </w:t>
      </w:r>
      <w:r>
        <w:rPr>
          <w:b/>
          <w:bCs/>
        </w:rPr>
        <w:t xml:space="preserve">one answers what to require of a vendor you are evaluating -- and what each answer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proves.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n-short"/>
    <w:p>
      <w:pPr>
        <w:pStyle w:val="Heading2"/>
      </w:pPr>
      <w:r>
        <w:t xml:space="preserve">In short</w:t>
      </w:r>
    </w:p>
    <w:p>
      <w:pPr>
        <w:pStyle w:val="FirstParagraph"/>
      </w:pPr>
      <w:r>
        <w:rPr>
          <w:b/>
          <w:bCs/>
        </w:rPr>
        <w:t xml:space="preserve">The commonest mistake in vendor diligence is reading an audit report or a certificate as an answer</w:t>
      </w:r>
      <w:r>
        <w:rPr>
          <w:b/>
          <w:bCs/>
        </w:rPr>
        <w:t xml:space="preserve"> </w:t>
      </w:r>
      <w:r>
        <w:rPr>
          <w:b/>
          <w:bCs/>
        </w:rPr>
        <w:t xml:space="preserve">about the product.</w:t>
      </w:r>
      <w:r>
        <w:t xml:space="preserve"> </w:t>
      </w:r>
      <w:r>
        <w:t xml:space="preserve">Those instruments examine how a company governs</w:t>
      </w:r>
      <w:r>
        <w:t xml:space="preserve"> </w:t>
      </w:r>
      <w:r>
        <w:t xml:space="preserve">itself -- its policies, its access reviews, its change management. They never open the code. A</w:t>
      </w:r>
      <w:r>
        <w:t xml:space="preserve"> </w:t>
      </w:r>
      <w:r>
        <w:t xml:space="preserve">vendor can hold a clean report across a full twelve-month period, ship software with an</w:t>
      </w:r>
      <w:r>
        <w:t xml:space="preserve"> </w:t>
      </w:r>
      <w:r>
        <w:t xml:space="preserve">authorization flaw in it, and have said nothing false.</w:t>
      </w:r>
    </w:p>
    <w:p>
      <w:pPr>
        <w:pStyle w:val="BodyText"/>
      </w:pPr>
      <w:r>
        <w:t xml:space="preserve">So sort the evidence by layer -- the company, the software, the contract -- and ask three things</w:t>
      </w:r>
      <w:r>
        <w:t xml:space="preserve"> </w:t>
      </w:r>
      <w:r>
        <w:t xml:space="preserve">before anything else: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they offered. Not the</w:t>
      </w:r>
      <w:r>
        <w:t xml:space="preserve"> </w:t>
      </w:r>
      <w:r>
        <w:t xml:space="preserve">certificate, not the cover page. The scope alone decides whether the thing you are buying was</w:t>
      </w:r>
      <w:r>
        <w:t xml:space="preserve"> </w:t>
      </w:r>
      <w:r>
        <w:t xml:space="preserve">inside the examination, and for software you install and run yourself the answer is frequently</w:t>
      </w:r>
      <w:r>
        <w:t xml:space="preserve"> </w:t>
      </w:r>
      <w:r>
        <w:t xml:space="preserve">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you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 it is the runtime production environment. A build-time source</w:t>
      </w:r>
      <w:r>
        <w:t xml:space="preserve"> </w:t>
      </w:r>
      <w:r>
        <w:t xml:space="preserve">manifest answers a different question.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the last dynamic test, the last incident response exercise, and who ran</w:t>
      </w:r>
      <w:r>
        <w:t xml:space="preserve"> </w:t>
      </w:r>
      <w:r>
        <w:t xml:space="preserve">the test. Both dates are trivial to supply if they happened, and neither can be produced</w:t>
      </w:r>
      <w:r>
        <w:t xml:space="preserve"> </w:t>
      </w:r>
      <w:r>
        <w:t xml:space="preserve">retrospectively. The name decides whether you are holding an independent look or the output of</w:t>
      </w:r>
      <w:r>
        <w:t xml:space="preserve"> </w:t>
      </w:r>
      <w:r>
        <w:t xml:space="preserve">the vendor's own tooling.</w:t>
      </w:r>
    </w:p>
    <w:p>
      <w:pPr>
        <w:pStyle w:val="FirstParagraph"/>
      </w:pPr>
      <w:r>
        <w:t xml:space="preserve">Each of the three is a document, a date or a name. None can be answered with an adjective.</w:t>
      </w:r>
    </w:p>
    <w:p>
      <w:r>
        <w:pict>
          <v:rect style="width:0;height:1.5pt" o:hralign="center" o:hrstd="t" o:hr="t"/>
        </w:pict>
      </w:r>
    </w:p>
    <w:bookmarkEnd w:id="12"/>
    <w:bookmarkStart w:id="14" w:name="how-this-page-is-organized"/>
    <w:p>
      <w:pPr>
        <w:pStyle w:val="Heading2"/>
      </w:pPr>
      <w:r>
        <w:t xml:space="preserve">How this page is organized</w:t>
      </w:r>
    </w:p>
    <w:p>
      <w:pPr>
        <w:pStyle w:val="FirstParagraph"/>
      </w:pPr>
      <w:r>
        <w:t xml:space="preserve">The three groups below are sorted by layer, which is the cut that makes the mistake visible: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Organization layer</w:t>
      </w:r>
      <w:r>
        <w:t xml:space="preserve"> </w:t>
      </w:r>
      <w:r>
        <w:t xml:space="preserve">-- evidence about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Software layer</w:t>
      </w:r>
      <w:r>
        <w:t xml:space="preserve"> </w:t>
      </w:r>
      <w:r>
        <w:t xml:space="preserve">-- evidence about the thing you are buying.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Legal instruments</w:t>
      </w:r>
      <w:r>
        <w:t xml:space="preserve"> </w:t>
      </w:r>
      <w:r>
        <w:t xml:space="preserve">-- evidence about who pays when it goes wrong.</w:t>
      </w:r>
    </w:p>
    <w:p>
      <w:pPr>
        <w:pStyle w:val="FirstParagraph"/>
      </w:pPr>
      <w:r>
        <w:t xml:space="preserve">None of this is a reason to dismiss the organization-layer instruments. What they establish -- that</w:t>
      </w:r>
      <w:r>
        <w:t xml:space="preserve"> </w:t>
      </w:r>
      <w:r>
        <w:t xml:space="preserve">somebody outside the company examined how it governs itself, grants access and manages change, and</w:t>
      </w:r>
      <w:r>
        <w:t xml:space="preserve"> </w:t>
      </w:r>
      <w:r>
        <w:t xml:space="preserve">wrote down what they found -- is worth having, and a vendor holding none of them is a different risk</w:t>
      </w:r>
      <w:r>
        <w:t xml:space="preserve"> </w:t>
      </w:r>
      <w:r>
        <w:t xml:space="preserve">entirely. The failure is</w:t>
      </w:r>
      <w:r>
        <w:t xml:space="preserve"> </w:t>
      </w:r>
      <w:r>
        <w:t xml:space="preserve">narrower than that: reading a program attestation as an answer to "is this product secure", when no</w:t>
      </w:r>
      <w:r>
        <w:t xml:space="preserve"> </w:t>
      </w:r>
      <w:r>
        <w:t xml:space="preserve">part of it asked that question.</w:t>
      </w:r>
    </w:p>
    <w:p>
      <w:pPr>
        <w:pStyle w:val="BodyText"/>
      </w:pPr>
      <w:r>
        <w:t xml:space="preserve">Every row carries what it proves, what it does not prove, and what to ask. Statuses, versions and</w:t>
      </w:r>
      <w:r>
        <w:t xml:space="preserve"> </w:t>
      </w:r>
      <w:r>
        <w:t xml:space="preserve">dates live on the reference page, each carrying the date it was checked; this page carries none, on</w:t>
      </w:r>
      <w:r>
        <w:t xml:space="preserve"> </w:t>
      </w:r>
      <w:r>
        <w:t xml:space="preserve">purpose, so that it does not rot. For the producer's side of the same cut, see</w:t>
      </w:r>
      <w:r>
        <w:t xml:space="preserve"> </w:t>
      </w:r>
      <w:hyperlink r:id="rId13">
        <w:r>
          <w:rPr>
            <w:rStyle w:val="Hyperlink"/>
          </w:rPr>
          <w:t xml:space="preserve">the organization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 is not the software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e00b8717199ecc89f5e45a0b6bc81dc144fdf81"/>
    <w:p>
      <w:pPr>
        <w:pStyle w:val="Heading2"/>
      </w:pPr>
      <w:r>
        <w:t xml:space="preserve">Organization layer: evidence about the company</w:t>
      </w:r>
    </w:p>
    <w:p>
      <w:pPr>
        <w:pStyle w:val="FirstParagraph"/>
      </w:pPr>
      <w:r>
        <w:t xml:space="preserve">Procurement already knows how to ask for these, and most are issued by a party other than the vendor</w:t>
      </w:r>
      <w:r>
        <w:t xml:space="preserve"> </w:t>
      </w:r>
      <w:r>
        <w:t xml:space="preserve">-- which is where their weight comes from, and none of that weight is about the product. One caveat</w:t>
      </w:r>
      <w:r>
        <w:t xml:space="preserve"> </w:t>
      </w:r>
      <w:r>
        <w:t xml:space="preserve">governs the whole group: an examination or a certification has a boundary, and software you install</w:t>
      </w:r>
      <w:r>
        <w:t xml:space="preserve"> </w:t>
      </w:r>
      <w:r>
        <w:t xml:space="preserve">and run yourself frequently falls outside it. The boundary appears in the scope statement and</w:t>
      </w:r>
      <w:r>
        <w:t xml:space="preserve"> </w:t>
      </w:r>
      <w:r>
        <w:t xml:space="preserve">nowhere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the organization rather than the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when does the first Type II period end?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the vendor elected</w:t>
            </w:r>
          </w:p>
        </w:tc>
        <w:tc>
          <w:tcPr/>
          <w:p>
            <w:pPr>
              <w:pStyle w:val="Compact"/>
            </w:pPr>
            <w:r>
              <w:t xml:space="preserve">That distributed software was examined; it commonly sits outside the scope boundary. The report is an attestation, not a certificate -- there is no pass mark</w:t>
            </w:r>
          </w:p>
        </w:tc>
        <w:tc>
          <w:tcPr/>
          <w:p>
            <w:pPr>
              <w:pStyle w:val="Compact"/>
            </w:pPr>
            <w:r>
              <w:t xml:space="preserve">What did the scope cover, and what exceptions did the firm list?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an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a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What scope is printed on the certificate, and who accredited the body that issued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distributable software was assessed. What is assessed is an organization's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was assessed, and what did the assessment take in?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you install and run yourself. Nor that a third party did the assessing: a PCI DSS self-assessment questionnaire is completed and signed by the vendor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was it independently assessed or self-assessed, and is the offering you are buying the one that was named?</w:t>
            </w:r>
          </w:p>
        </w:tc>
      </w:tr>
    </w:tbl>
    <w:p>
      <w:pPr>
        <w:pStyle w:val="BodyText"/>
      </w:pPr>
      <w:r>
        <w:t xml:space="preserve">Three things that trip people up here: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examination period that produced no exception at all is worth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The standards publisher itself issues nothing -- the accredited body</w:t>
      </w:r>
      <w:r>
        <w:t xml:space="preserve"> </w:t>
      </w:r>
      <w:r>
        <w:t xml:space="preserve">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HITRUST sits in the same set as the program instruments, and none of them outranks the others.</w:t>
      </w:r>
      <w:r>
        <w:t xml:space="preserve"> </w:t>
      </w:r>
      <w:r>
        <w:t xml:space="preserve">Its two lower tiers are published as fixed core control sets while the highest is tailored and</w:t>
      </w:r>
      <w:r>
        <w:t xml:space="preserve"> </w:t>
      </w:r>
      <w:r>
        <w:t xml:space="preserve">risk-based, so a tier name on its own does not say how much was looked at. Ask for tier and scope,</w:t>
      </w:r>
      <w:r>
        <w:t xml:space="preserve"> </w:t>
      </w:r>
      <w:r>
        <w:t xml:space="preserve">never control text: the framework's text is licensed. And the body that writes a program standard</w:t>
      </w:r>
      <w:r>
        <w:t xml:space="preserve"> </w:t>
      </w:r>
      <w:r>
        <w:t xml:space="preserve">is often not the body that sets your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4d8870e3efb0a55c27ab68f184d5d94a4b36305"/>
    <w:p>
      <w:pPr>
        <w:pStyle w:val="Heading2"/>
      </w:pPr>
      <w:r>
        <w:t xml:space="preserve">Software layer: evidence about the thing you are buying</w:t>
      </w:r>
    </w:p>
    <w:p>
      <w:pPr>
        <w:pStyle w:val="FirstParagraph"/>
      </w:pPr>
      <w:r>
        <w:t xml:space="preserve">Nothing in the group above examined the code or the build. These four are about the code and the</w:t>
      </w:r>
      <w:r>
        <w:t xml:space="preserve"> </w:t>
      </w:r>
      <w:r>
        <w:t xml:space="preserve">build, and the question is always how each one was produced. Three of them the vendor writes about</w:t>
      </w:r>
      <w:r>
        <w:t xml:space="preserve"> </w:t>
      </w:r>
      <w:r>
        <w:t xml:space="preserve">its own system, so their weight comes from the discipline behind them rather than from who issued</w:t>
      </w:r>
      <w:r>
        <w:t xml:space="preserve"> </w:t>
      </w:r>
      <w:r>
        <w:t xml:space="preserve">them. Testing evidence is the exception and the strongest item in the group, but only in one form:</w:t>
      </w:r>
      <w:r>
        <w:t xml:space="preserve"> </w:t>
      </w:r>
      <w:r>
        <w:t xml:space="preserve">an external assessment or a penetration test, which is the one software-layer artifact a third party</w:t>
      </w:r>
      <w:r>
        <w:t xml:space="preserve"> </w:t>
      </w:r>
      <w:r>
        <w:t xml:space="preserve">issues. Ask for it by those names, because a vendor asked for "testing evidence" will usually hand</w:t>
      </w:r>
      <w:r>
        <w:t xml:space="preserve"> </w:t>
      </w:r>
      <w:r>
        <w:t xml:space="preserve">over the output of its own tooling.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you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Is it generated by the build for the exact released artifact, or hand-maintained?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are used,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do they live, and what happens on rotation and on revocation?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were they independent of the team that wrote the code?</w:t>
            </w:r>
          </w:p>
        </w:tc>
      </w:tr>
    </w:tbl>
    <w:p>
      <w:pPr>
        <w:pStyle w:val="BodyText"/>
      </w:pPr>
      <w:r>
        <w:t xml:space="preserve">Two follow-ups worth the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of them describes what</w:t>
      </w:r>
      <w:r>
        <w:t xml:space="preserve"> </w:t>
      </w:r>
      <w:r>
        <w:t xml:space="preserve">is running.</w:t>
      </w:r>
    </w:p>
    <w:p>
      <w:pPr>
        <w:pStyle w:val="FirstParagraph"/>
      </w:pPr>
      <w:r>
        <w:t xml:space="preserve">Producer side for three of these rows: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data</w:t>
      </w:r>
      <w:r>
        <w:t xml:space="preserve"> </w:t>
      </w:r>
      <w:r>
        <w:t xml:space="preserve">flow diagram and the testing regime;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SBOM, with the dated citation behind the runtime-versus-build distinction.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security. A complete set of them tells you what</w:t>
      </w:r>
      <w:r>
        <w:t xml:space="preserve"> </w:t>
      </w:r>
      <w:r>
        <w:t xml:space="preserve">happens after a failure and nothing about its likelihood. Read them for their clock definitions and</w:t>
      </w:r>
      <w:r>
        <w:t xml:space="preserve"> </w:t>
      </w:r>
      <w:r>
        <w:t xml:space="preserve">notification paths, which is where 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What it does not prove</w:t>
            </w:r>
          </w:p>
        </w:tc>
        <w:tc>
          <w:tcPr/>
          <w:p>
            <w:pPr>
              <w:pStyle w:val="Compact"/>
            </w:pPr>
            <w:r>
              <w:t xml:space="preserve">What to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it is missed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does the clock start, when does it stop, and how does a reporter reach a human outside business hours?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the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The current subprocessor list, how you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failure points, both common: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commitment whose clock starts</w:t>
      </w:r>
      <w:r>
        <w:t xml:space="preserve"> </w:t>
      </w:r>
      <w:r>
        <w:t xml:space="preserve">when the vendor accepts triage is unbounded, whatever the number on it. And "patch released" is</w:t>
      </w:r>
      <w:r>
        <w:t xml:space="preserve"> </w:t>
      </w:r>
      <w:r>
        <w:t xml:space="preserve">not "patch deployed" -- for software you run yourself, the deployment is your side of the line.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plan with no exercise date is a document, not a capability.</w:t>
      </w:r>
    </w:p>
    <w:p>
      <w:pPr>
        <w:pStyle w:val="FirstParagraph"/>
      </w:pPr>
      <w:r>
        <w:t xml:space="preserve">Producer side: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carries the disclosure path and the</w:t>
      </w:r>
      <w:r>
        <w:t xml:space="preserve"> </w:t>
      </w:r>
      <w:r>
        <w:t xml:space="preserve">remediation clock.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Matching nothing here is not clearance, and producing everything here is not approval.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able to require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reference page, each</w:t>
      </w:r>
      <w:r>
        <w:t xml:space="preserve"> </w:t>
      </w:r>
      <w:r>
        <w:t xml:space="preserve">carrying the date it was checked, so a stale fact is visible as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you are able to check, which is a more modest thing than either side of a</w:t>
      </w:r>
      <w:r>
        <w:t xml:space="preserve"> </w:t>
      </w:r>
      <w:r>
        <w:t xml:space="preserve">procurement conversation usually wants it to be.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lookup, with statuses and dates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Automated compliance in CI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claude-multisession/main/docs/standards/DILIGENCE-PACKET.md" TargetMode="External" /><Relationship Type="http://schemas.openxmlformats.org/officeDocument/2006/relationships/hyperlink" Id="rId10" Target="https://raw.githubusercontent.com/wshallwshall/claude-multisession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2026-08-07T01:15:41Z</dcterms:created>
  <dcterms:modified xsi:type="dcterms:W3CDTF">2026-08-07T01:15:41Z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