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1" w:name="X5f00617d65279871bdf095e7499ae789fffb5af"/>
    <w:p>
      <w:pPr>
        <w:pStyle w:val="Heading1"/>
      </w:pPr>
      <w:r>
        <w:t xml:space="preserve">Which security standards actually apply to you?</w:t>
      </w:r>
    </w:p>
    <w:p>
      <w:pPr>
        <w:pStyle w:val="FirstParagraph"/>
      </w:pPr>
      <w:r>
        <w:rPr>
          <w:b/>
          <w:bCs/>
        </w:rPr>
        <w:t xml:space="preserve">The question a security executive has to answer before funding anything, and the one buried under</w:t>
      </w:r>
      <w:r>
        <w:rPr>
          <w:b/>
          <w:bCs/>
        </w:rPr>
        <w:t xml:space="preserve"> </w:t>
      </w:r>
      <w:r>
        <w:rPr>
          <w:b/>
          <w:bCs/>
        </w:rPr>
        <w:t xml:space="preserve">encyclopedias that explain what each standard says rather than whether it reaches you.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Every status on this page was checked on 2026-08-06.</w:t>
      </w:r>
      <w:r>
        <w:t xml:space="preserve"> </w:t>
      </w:r>
      <w:r>
        <w:t xml:space="preserve">A compliance fact without a date is a</w:t>
      </w:r>
      <w:r>
        <w:t xml:space="preserve"> </w:t>
      </w:r>
      <w:r>
        <w:t xml:space="preserve">claim with a hidden expiry. Several statuses below moved inside the last twelve months, at least</w:t>
      </w:r>
      <w:r>
        <w:t xml:space="preserve"> </w:t>
      </w:r>
      <w:r>
        <w:t xml:space="preserve">six of those inside the last three, and more than one inside the last two weeks. Re-check before</w:t>
      </w:r>
      <w:r>
        <w:t xml:space="preserve"> </w:t>
      </w:r>
      <w:r>
        <w:t xml:space="preserve">quoting any of them in a contract, a questionnaire response, or a board paper.</w: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hyperlink w:anchor="if-this-is-your-situation">
        <w:r>
          <w:rPr>
            <w:rStyle w:val="Hyperlink"/>
            <w:b/>
            <w:bCs/>
          </w:rPr>
          <w:t xml:space="preserve">routing block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keyed on situations you recognize about yourself</w:t>
      </w:r>
      <w:r>
        <w:t xml:space="preserve">,</w:t>
      </w:r>
      <w:r>
        <w:t xml:space="preserve"> </w:t>
      </w:r>
      <w:r>
        <w:t xml:space="preserve">so you can find what reaches you without first knowing which category a document belongs 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cuts that settle most arguments</w:t>
      </w:r>
      <w:r>
        <w:t xml:space="preserve">: who a document is addressed to, and what it issues when</w:t>
      </w:r>
      <w:r>
        <w:t xml:space="preserve"> </w:t>
      </w:r>
      <w:r>
        <w:t xml:space="preserve">you finish. Both sit outside the content, and a summary almost never carries either.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named answer for the artifact that does not exist.</w:t>
      </w:r>
      <w:r>
        <w:t xml:space="preserve"> </w:t>
      </w:r>
      <w:r>
        <w:t xml:space="preserve">Most items here issue nothing, so being</w:t>
      </w:r>
      <w:r>
        <w:t xml:space="preserve"> </w:t>
      </w:r>
      <w:r>
        <w:t xml:space="preserve">asked for a certificate is routine, and the useful reply is to say what does exist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 least thirteen sentences still in circulation that are now wrong</w:t>
      </w:r>
      <w:r>
        <w:t xml:space="preserve">, each with a check you can</w:t>
      </w:r>
      <w:r>
        <w:t xml:space="preserve"> </w:t>
      </w:r>
      <w:r>
        <w:t xml:space="preserve">run without trusting this page.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gaps, named.</w:t>
      </w:r>
      <w:r>
        <w:t xml:space="preserve"> </w:t>
      </w:r>
      <w:r>
        <w:t xml:space="preserve">What is absent entirely, what rests on secondary reporting, and the questions</w:t>
      </w:r>
      <w:r>
        <w:t xml:space="preserve"> </w:t>
      </w:r>
      <w:r>
        <w:t xml:space="preserve">this page structurally cannot answer.</w:t>
      </w:r>
    </w:p>
    <w:p>
      <w:r>
        <w:pict>
          <v:rect style="width:0;height:1.5pt" o:hralign="center" o:hrstd="t" o:hr="t"/>
        </w:pict>
      </w:r>
    </w:p>
    <w:bookmarkEnd w:id="12"/>
    <w:bookmarkStart w:id="14" w:name="X59e16fdc45edc897ceace49659f87fb46af9017"/>
    <w:p>
      <w:pPr>
        <w:pStyle w:val="Heading2"/>
      </w:pPr>
      <w:r>
        <w:t xml:space="preserve">What this page answers, and what it does not</w:t>
      </w:r>
    </w:p>
    <w:p>
      <w:pPr>
        <w:pStyle w:val="FirstParagraph"/>
      </w:pPr>
      <w:r>
        <w:t xml:space="preserve">This page answers what applies to us.</w:t>
      </w:r>
      <w:r>
        <w:t xml:space="preserve"> </w:t>
      </w:r>
      <w:hyperlink r:id="rId13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answers a different</w:t>
      </w:r>
      <w:r>
        <w:t xml:space="preserve"> </w:t>
      </w:r>
      <w:r>
        <w:t xml:space="preserve">question -- whether your teams already do this -- and neither substitutes for the other. That page is</w:t>
      </w:r>
      <w:r>
        <w:t xml:space="preserve"> </w:t>
      </w:r>
      <w:r>
        <w:t xml:space="preserve">about your teams' practice. This one is about the external documents that arrive attached to a</w:t>
      </w:r>
      <w:r>
        <w:t xml:space="preserve"> </w:t>
      </w:r>
      <w:r>
        <w:t xml:space="preserve">contract, a procurement rule, or a regulator.</w:t>
      </w:r>
    </w:p>
    <w:p>
      <w:pPr>
        <w:pStyle w:val="BodyText"/>
      </w:pPr>
      <w:r>
        <w:rPr>
          <w:b/>
          <w:bCs/>
        </w:rPr>
        <w:t xml:space="preserve">No legal advice.</w:t>
      </w:r>
      <w:r>
        <w:t xml:space="preserve"> </w:t>
      </w:r>
      <w:r>
        <w:t xml:space="preserve">This page says what a document is and who it addresses. It never says whether</w:t>
      </w:r>
      <w:r>
        <w:t xml:space="preserve"> </w:t>
      </w:r>
      <w:r>
        <w:t xml:space="preserve">you must comply with anything. Whether a regime reaches your organization is decided by a clause and</w:t>
      </w:r>
      <w:r>
        <w:t xml:space="preserve"> </w:t>
      </w:r>
      <w:r>
        <w:t xml:space="preserve">by your counsel, not by a web page.</w:t>
      </w:r>
    </w:p>
    <w:p>
      <w:pPr>
        <w:pStyle w:val="BodyText"/>
      </w:pPr>
      <w:r>
        <w:rPr>
          <w:b/>
          <w:bCs/>
        </w:rPr>
        <w:t xml:space="preserve">No conformance claim.</w:t>
      </w:r>
      <w:r>
        <w:t xml:space="preserve"> </w:t>
      </w:r>
      <w:r>
        <w:t xml:space="preserve">Naming a standard is not alignment with it. Nothing published on this site</w:t>
      </w:r>
      <w:r>
        <w:t xml:space="preserve"> </w:t>
      </w:r>
      <w:r>
        <w:t xml:space="preserve">certifies, scores, or attests to anything.</w:t>
      </w:r>
    </w:p>
    <w:p>
      <w:pPr>
        <w:pStyle w:val="BodyText"/>
      </w:pPr>
      <w:r>
        <w:rPr>
          <w:b/>
          <w:bCs/>
        </w:rPr>
        <w:t xml:space="preserve">No vendor or tool recommendations.</w:t>
      </w:r>
      <w:r>
        <w:t xml:space="preserve"> </w:t>
      </w:r>
      <w:r>
        <w:t xml:space="preserve">No scanner, platform, assessor or format is recommended below,</w:t>
      </w:r>
      <w:r>
        <w:t xml:space="preserve"> </w:t>
      </w:r>
      <w:r>
        <w:t xml:space="preserve">including where two are named side by side.</w:t>
      </w:r>
    </w:p>
    <w:p>
      <w:pPr>
        <w:pStyle w:val="BodyText"/>
      </w:pPr>
      <w:r>
        <w:rPr>
          <w:b/>
          <w:bCs/>
        </w:rPr>
        <w:t xml:space="preserve">Not complete.</w:t>
      </w:r>
      <w:r>
        <w:t xml:space="preserve"> </w:t>
      </w:r>
      <w:r>
        <w:t xml:space="preserve">This page maps at least the items in the tables below, not all of them. The named</w:t>
      </w:r>
      <w:r>
        <w:t xml:space="preserve"> </w:t>
      </w:r>
      <w:r>
        <w:t xml:space="preserve">gaps are in</w:t>
      </w:r>
      <w:r>
        <w:t xml:space="preserve"> </w:t>
      </w:r>
      <w:hyperlink w:anchor="what-this-page-did-not-assess">
        <w:r>
          <w:rPr>
            <w:rStyle w:val="Hyperlink"/>
          </w:rPr>
          <w:t xml:space="preserve">What this page did not assess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three-questions-in-this-order"/>
    <w:p>
      <w:pPr>
        <w:pStyle w:val="Heading2"/>
      </w:pPr>
      <w:r>
        <w:t xml:space="preserve">Three questions, in this order</w:t>
      </w:r>
    </w:p>
    <w:p>
      <w:pPr>
        <w:pStyle w:val="FirstParagraph"/>
      </w:pPr>
      <w:r>
        <w:rPr>
          <w:b/>
          <w:bCs/>
        </w:rPr>
        <w:t xml:space="preserve">Does it reach me?</w:t>
      </w:r>
      <w:r>
        <w:t xml:space="preserve"> </w:t>
      </w:r>
      <w:r>
        <w:t xml:space="preserve">A fact about your contracts, your markets and your data, not about the</w:t>
      </w:r>
      <w:r>
        <w:t xml:space="preserve"> </w:t>
      </w:r>
      <w:r>
        <w:t xml:space="preserve">document. Start at the</w:t>
      </w:r>
      <w:r>
        <w:t xml:space="preserve"> </w:t>
      </w:r>
      <w:hyperlink w:anchor="if-this-is-your-situation">
        <w:r>
          <w:rPr>
            <w:rStyle w:val="Hyperlink"/>
          </w:rPr>
          <w:t xml:space="preserve">routing block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Who is it addressed to?</w:t>
      </w:r>
      <w:r>
        <w:t xml:space="preserve"> </w:t>
      </w:r>
      <w:r>
        <w:t xml:space="preserve">This decides whether the document can describe the thing you are being</w:t>
      </w:r>
      <w:r>
        <w:t xml:space="preserve"> </w:t>
      </w:r>
      <w:r>
        <w:t xml:space="preserve">asked for at all. A control catalog written for an organization that operates systems assumes</w:t>
      </w:r>
      <w:r>
        <w:t xml:space="preserve"> </w:t>
      </w:r>
      <w:r>
        <w:t xml:space="preserve">personnel, facilities, an authorization boundary and a contingency plan. A product has none of those,</w:t>
      </w:r>
      <w:r>
        <w:t xml:space="preserve"> </w:t>
      </w:r>
      <w:r>
        <w:t xml:space="preserve">so a producer can honestly claim a correspondence to a named control identifier and nothing more.</w:t>
      </w:r>
    </w:p>
    <w:p>
      <w:pPr>
        <w:pStyle w:val="BodyText"/>
      </w:pPr>
      <w:r>
        <w:rPr>
          <w:b/>
          <w:bCs/>
        </w:rPr>
        <w:t xml:space="preserve">What does it issue?</w:t>
      </w:r>
      <w:r>
        <w:t xml:space="preserve"> </w:t>
      </w:r>
      <w:r>
        <w:t xml:space="preserve">This decides what changes hands. If the artifact you are being asked for does</w:t>
      </w:r>
      <w:r>
        <w:t xml:space="preserve"> </w:t>
      </w:r>
      <w:r>
        <w:t xml:space="preserve">not exist for the standard named, say so and offer what does exist, rather than acquire something</w:t>
      </w:r>
      <w:r>
        <w:t xml:space="preserve"> </w:t>
      </w:r>
      <w:r>
        <w:t xml:space="preserve">that resembles it.</w:t>
      </w:r>
    </w:p>
    <w:p>
      <w:pPr>
        <w:pStyle w:val="BodyText"/>
      </w:pPr>
      <w:r>
        <w:t xml:space="preserve">In that order, most of the confusion here resolves before you read a single requirement.</w:t>
      </w:r>
    </w:p>
    <w:p>
      <w:r>
        <w:pict>
          <v:rect style="width:0;height:1.5pt" o:hralign="center" o:hrstd="t" o:hr="t"/>
        </w:pict>
      </w:r>
    </w:p>
    <w:bookmarkEnd w:id="15"/>
    <w:bookmarkStart w:id="16" w:name="if-this-is-your-situation"/>
    <w:p>
      <w:pPr>
        <w:pStyle w:val="Heading2"/>
      </w:pPr>
      <w:r>
        <w:t xml:space="preserve">If this is your situation</w:t>
      </w:r>
    </w:p>
    <w:p>
      <w:pPr>
        <w:pStyle w:val="FirstParagraph"/>
      </w:pPr>
      <w:r>
        <w:t xml:space="preserve">At least twelve situations. Column three points into this page, not out of it. Matching no row here is</w:t>
      </w:r>
      <w:r>
        <w:t xml:space="preserve"> </w:t>
      </w:r>
      <w:r>
        <w:t xml:space="preserve">not evidence that nothing reaches you -- see</w:t>
      </w:r>
      <w:r>
        <w:t xml:space="preserve"> </w:t>
      </w:r>
      <w:hyperlink w:anchor="what-this-page-did-not-assess">
        <w:r>
          <w:rPr>
            <w:rStyle w:val="Hyperlink"/>
          </w:rPr>
          <w:t xml:space="preserve">What this page did not assess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Your situation</w:t>
            </w:r>
          </w:p>
        </w:tc>
        <w:tc>
          <w:tcPr/>
          <w:p>
            <w:pPr>
              <w:pStyle w:val="Compact"/>
            </w:pPr>
            <w:r>
              <w:t xml:space="preserve">What reaches you, and how it arrives</w:t>
            </w:r>
          </w:p>
        </w:tc>
        <w:tc>
          <w:tcPr/>
          <w:p>
            <w:pPr>
              <w:pStyle w:val="Compact"/>
            </w:pPr>
            <w:r>
              <w:t xml:space="preserve">Read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sell software, not a hosted service, to a US federal agency</w:t>
            </w:r>
          </w:p>
        </w:tc>
        <w:tc>
          <w:tcPr/>
          <w:p>
            <w:pPr>
              <w:pStyle w:val="Compact"/>
            </w:pPr>
            <w:r>
              <w:t xml:space="preserve">Since 2026-01-23 there is no government-wide attestation mandate. What reaches you is whatever an individual agency writes into a contract</w:t>
            </w:r>
          </w:p>
        </w:tc>
        <w:tc>
          <w:tcPr/>
          <w:p>
            <w:pPr>
              <w:pStyle w:val="Compact"/>
            </w:pPr>
            <w:hyperlink w:anchor="addressed-to-a-software-producer">
              <w:r>
                <w:rPr>
                  <w:rStyle w:val="Hyperlink"/>
                </w:rPr>
                <w:t xml:space="preserve">Producer items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sell a hosted service to a US federal agency</w:t>
            </w:r>
          </w:p>
        </w:tc>
        <w:tc>
          <w:tcPr/>
          <w:p>
            <w:pPr>
              <w:pStyle w:val="Compact"/>
            </w:pPr>
            <w:r>
              <w:t xml:space="preserve">A government program certification for the offering, as a condition of the sale. It arrives as a procurement rule</w:t>
            </w:r>
          </w:p>
        </w:tc>
        <w:tc>
          <w:tcPr/>
          <w:p>
            <w:pPr>
              <w:pStyle w:val="Compact"/>
            </w:pPr>
            <w:hyperlink w:anchor="certification-and-program-regimes">
              <w:r>
                <w:rPr>
                  <w:rStyle w:val="Hyperlink"/>
                </w:rPr>
                <w:t xml:space="preserve">Certification and program regimes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sell to a US state, local, tribal or education buyer</w:t>
            </w:r>
          </w:p>
        </w:tc>
        <w:tc>
          <w:tcPr/>
          <w:p>
            <w:pPr>
              <w:pStyle w:val="Compact"/>
            </w:pPr>
            <w:r>
              <w:t xml:space="preserve">A separate program with its own statuses and tiers, arriving as a procurement requirement that varies by jurisdiction</w:t>
            </w:r>
          </w:p>
        </w:tc>
        <w:tc>
          <w:tcPr/>
          <w:p>
            <w:pPr>
              <w:pStyle w:val="Compact"/>
            </w:pPr>
            <w:hyperlink w:anchor="certification-and-program-regimes">
              <w:r>
                <w:rPr>
                  <w:rStyle w:val="Hyperlink"/>
                </w:rPr>
                <w:t xml:space="preserve">Certification and program regimes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place a product with digital elements on the EU market</w:t>
            </w:r>
          </w:p>
        </w:tc>
        <w:tc>
          <w:tcPr/>
          <w:p>
            <w:pPr>
              <w:pStyle w:val="Compact"/>
            </w:pPr>
            <w:r>
              <w:t xml:space="preserve">A regulation that binds producers directly, with no customer asking -- the only such item mapped here. Its reporting obligations apply from 2026-09-11, ahead of the rest of it</w:t>
            </w:r>
          </w:p>
        </w:tc>
        <w:tc>
          <w:tcPr/>
          <w:p>
            <w:pPr>
              <w:pStyle w:val="Compact"/>
            </w:pPr>
            <w:hyperlink w:anchor="addressed-to-a-software-producer">
              <w:r>
                <w:rPr>
                  <w:rStyle w:val="Hyperlink"/>
                </w:rPr>
                <w:t xml:space="preserve">Producer items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prime contractor flowed a security requirement down to you</w:t>
            </w:r>
          </w:p>
        </w:tc>
        <w:tc>
          <w:tcPr/>
          <w:p>
            <w:pPr>
              <w:pStyle w:val="Compact"/>
            </w:pPr>
            <w:r>
              <w:t xml:space="preserve">A clause, not a publication. Ask which contract and which clause number, and whether a deviation modifies it</w:t>
            </w:r>
          </w:p>
        </w:tc>
        <w:tc>
          <w:tcPr/>
          <w:p>
            <w:pPr>
              <w:pStyle w:val="Compact"/>
            </w:pPr>
            <w:hyperlink w:anchor="how-these-actually-reach-you">
              <w:r>
                <w:rPr>
                  <w:rStyle w:val="Hyperlink"/>
                </w:rPr>
                <w:t xml:space="preserve">How these actually reach you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commercial customer requires a certificate or an audit report before signing</w:t>
            </w:r>
          </w:p>
        </w:tc>
        <w:tc>
          <w:tcPr/>
          <w:p>
            <w:pPr>
              <w:pStyle w:val="Compact"/>
            </w:pPr>
            <w:r>
              <w:t xml:space="preserve">An instrument that does exist, unlike most of this page: a scoped third-party certificate, or an examination report carrying an opinion. What it is worth turns on scope, accreditation, and which criteria were elected</w:t>
            </w:r>
          </w:p>
        </w:tc>
        <w:tc>
          <w:tcPr/>
          <w:p>
            <w:pPr>
              <w:pStyle w:val="Compact"/>
            </w:pPr>
            <w:hyperlink w:anchor="certification-and-program-regimes">
              <w:r>
                <w:rPr>
                  <w:rStyle w:val="Hyperlink"/>
                </w:rPr>
                <w:t xml:space="preserve">Certification and program regimes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customer questionnaire asks you for a certificate</w:t>
            </w:r>
          </w:p>
        </w:tc>
        <w:tc>
          <w:tcPr/>
          <w:p>
            <w:pPr>
              <w:pStyle w:val="Compact"/>
            </w:pPr>
            <w:r>
              <w:t xml:space="preserve">A questionnaire is not a regulator. Most items here issue no certificate, so name what does exist: a scoped certificate for something else, a report, a self-attestation, provenance, or named control correspondences</w:t>
            </w:r>
          </w:p>
        </w:tc>
        <w:tc>
          <w:tcPr/>
          <w:p>
            <w:pPr>
              <w:pStyle w:val="Compact"/>
            </w:pPr>
            <w:hyperlink w:anchor="cut-two-what-does-it-actually-issue">
              <w:r>
                <w:rPr>
                  <w:rStyle w:val="Hyperlink"/>
                </w:rPr>
                <w:t xml:space="preserve">What it actually issues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contract clause names a ranking, such as free of OWASP Top 10 issues</w:t>
            </w:r>
          </w:p>
        </w:tc>
        <w:tc>
          <w:tcPr/>
          <w:p>
            <w:pPr>
              <w:pStyle w:val="Compact"/>
            </w:pPr>
            <w:r>
              <w:t xml:space="preserve">A clause with no completion condition. Convert it into a requirement set while the clause is being agreed, not when the assessment is due</w:t>
            </w:r>
          </w:p>
        </w:tc>
        <w:tc>
          <w:tcPr/>
          <w:p>
            <w:pPr>
              <w:pStyle w:val="Compact"/>
            </w:pPr>
            <w:hyperlink w:anchor="rankings-and-awareness-lists">
              <w:r>
                <w:rPr>
                  <w:rStyle w:val="Hyperlink"/>
                </w:rPr>
                <w:t xml:space="preserve">Rankings and awareness lists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operate systems holding data covered by a sector regime</w:t>
            </w:r>
          </w:p>
        </w:tc>
        <w:tc>
          <w:tcPr/>
          <w:p>
            <w:pPr>
              <w:pStyle w:val="Compact"/>
            </w:pPr>
            <w:r>
              <w:t xml:space="preserve">A regulator's rule on the organization, not on a product. It reaches a supplier as contract text rather than as regulation</w:t>
            </w:r>
          </w:p>
        </w:tc>
        <w:tc>
          <w:tcPr/>
          <w:p>
            <w:pPr>
              <w:pStyle w:val="Compact"/>
            </w:pPr>
            <w:hyperlink w:anchor="sector-and-jurisdiction-regimes">
              <w:r>
                <w:rPr>
                  <w:rStyle w:val="Hyperlink"/>
                </w:rPr>
                <w:t xml:space="preserve">Sector and jurisdiction regimes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are in the payment card chain</w:t>
            </w:r>
          </w:p>
        </w:tc>
        <w:tc>
          <w:tcPr/>
          <w:p>
            <w:pPr>
              <w:pStyle w:val="Compact"/>
            </w:pPr>
            <w:r>
              <w:t xml:space="preserve">An agreement with an acquirer or a brand. The body that writes the standard is not the body that sets your validation requirement</w:t>
            </w:r>
          </w:p>
        </w:tc>
        <w:tc>
          <w:tcPr/>
          <w:p>
            <w:pPr>
              <w:pStyle w:val="Compact"/>
            </w:pPr>
            <w:hyperlink w:anchor="certification-and-program-regimes">
              <w:r>
                <w:rPr>
                  <w:rStyle w:val="Hyperlink"/>
                </w:rPr>
                <w:t xml:space="preserve">Certification and program regimes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supply software to an organization in scope of a regime, and you are not</w:t>
            </w:r>
          </w:p>
        </w:tc>
        <w:tc>
          <w:tcPr/>
          <w:p>
            <w:pPr>
              <w:pStyle w:val="Compact"/>
            </w:pPr>
            <w:r>
              <w:t xml:space="preserve">A supplier-risk questionnaire generated by their obligation. The contract text governs what you owe, not the underlying regime</w:t>
            </w:r>
          </w:p>
        </w:tc>
        <w:tc>
          <w:tcPr/>
          <w:p>
            <w:pPr>
              <w:pStyle w:val="Compact"/>
            </w:pPr>
            <w:hyperlink w:anchor="how-these-actually-reach-you">
              <w:r>
                <w:rPr>
                  <w:rStyle w:val="Hyperlink"/>
                </w:rPr>
                <w:t xml:space="preserve">How these actually reach you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developers build with AI coding assistants</w:t>
            </w:r>
          </w:p>
        </w:tc>
        <w:tc>
          <w:tcPr/>
          <w:p>
            <w:pPr>
              <w:pStyle w:val="Compact"/>
            </w:pPr>
            <w:r>
              <w:t xml:space="preserve">Nothing mapped here governs it. Three documents are routinely offered as though they do, and each is about something else</w:t>
            </w:r>
          </w:p>
        </w:tc>
        <w:tc>
          <w:tcPr/>
          <w:p>
            <w:pPr>
              <w:pStyle w:val="Compact"/>
            </w:pPr>
            <w:hyperlink w:anchor="Xf419bb31d4316203dd4fd5a9c399af24e8e654b">
              <w:r>
                <w:rPr>
                  <w:rStyle w:val="Hyperlink"/>
                </w:rPr>
                <w:t xml:space="preserve">Where an AI coding assistant sits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cut-one-who-is-it-addressed-to"/>
    <w:p>
      <w:pPr>
        <w:pStyle w:val="Heading2"/>
      </w:pPr>
      <w:r>
        <w:t xml:space="preserve">Cut one: who is it addressed to</w:t>
      </w:r>
    </w:p>
    <w:p>
      <w:pPr>
        <w:pStyle w:val="FirstParagraph"/>
      </w:pPr>
      <w:r>
        <w:t xml:space="preserve">The addressee is the most stable fact about a document. Status, trigger and enforcement machinery</w:t>
      </w:r>
      <w:r>
        <w:t xml:space="preserve"> </w:t>
      </w:r>
      <w:r>
        <w:t xml:space="preserve">change constantly; the audience almost never does.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Addressed to</w:t>
            </w:r>
          </w:p>
        </w:tc>
        <w:tc>
          <w:tcPr/>
          <w:p>
            <w:pPr>
              <w:pStyle w:val="Compact"/>
            </w:pPr>
            <w:r>
              <w:t xml:space="preserve">What it is describing</w:t>
            </w:r>
          </w:p>
        </w:tc>
        <w:tc>
          <w:tcPr/>
          <w:p>
            <w:pPr>
              <w:pStyle w:val="Compact"/>
            </w:pPr>
            <w:r>
              <w:t xml:space="preserve">The failure when you get it wrong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software producer</w:t>
            </w:r>
          </w:p>
        </w:tc>
        <w:tc>
          <w:tcPr/>
          <w:p>
            <w:pPr>
              <w:pStyle w:val="Compact"/>
            </w:pPr>
            <w:r>
              <w:t xml:space="preserve">How code is built, reviewed, released and evidenced</w:t>
            </w:r>
          </w:p>
        </w:tc>
        <w:tc>
          <w:tcPr/>
          <w:p>
            <w:pPr>
              <w:pStyle w:val="Compact"/>
            </w:pPr>
            <w:r>
              <w:t xml:space="preserve">An operating-environment instrument offered as evidence about a build practice it never examined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organization that operates systems</w:t>
            </w:r>
          </w:p>
        </w:tc>
        <w:tc>
          <w:tcPr/>
          <w:p>
            <w:pPr>
              <w:pStyle w:val="Compact"/>
            </w:pPr>
            <w:r>
              <w:t xml:space="preserve">How an entity runs, governs and secures systems it operates, with personnel, facilities and an authorization boundary</w:t>
            </w:r>
          </w:p>
        </w:tc>
        <w:tc>
          <w:tcPr/>
          <w:p>
            <w:pPr>
              <w:pStyle w:val="Compact"/>
            </w:pPr>
            <w:r>
              <w:t xml:space="preserve">A management-system or program instrument offered as evidence that a product is secure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assessor</w:t>
            </w:r>
          </w:p>
        </w:tc>
        <w:tc>
          <w:tcPr/>
          <w:p>
            <w:pPr>
              <w:pStyle w:val="Compact"/>
            </w:pPr>
            <w:r>
              <w:t xml:space="preserve">How an audit or examination is conducted, and by whom</w:t>
            </w:r>
          </w:p>
        </w:tc>
        <w:tc>
          <w:tcPr/>
          <w:p>
            <w:pPr>
              <w:pStyle w:val="Compact"/>
            </w:pPr>
            <w:r>
              <w:t xml:space="preserve">Assessor rules read as requirements on yourself, producing controls the standard never asked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Nobody: infrastructure and vocabulary</w:t>
            </w:r>
          </w:p>
        </w:tc>
        <w:tc>
          <w:tcPr/>
          <w:p>
            <w:pPr>
              <w:pStyle w:val="Compact"/>
            </w:pPr>
            <w:r>
              <w:t xml:space="preserve">Identifier spaces, formats and vocabularies that nobody conforms to</w:t>
            </w:r>
          </w:p>
        </w:tc>
        <w:tc>
          <w:tcPr/>
          <w:p>
            <w:pPr>
              <w:pStyle w:val="Compact"/>
            </w:pPr>
            <w:r>
              <w:t xml:space="preserve">An identifier read as a severity, or a format's standards-body lineage read as a compliance grade</w:t>
            </w:r>
          </w:p>
        </w:tc>
      </w:tr>
    </w:tbl>
    <w:p>
      <w:pPr>
        <w:pStyle w:val="BodyText"/>
      </w:pPr>
      <w:r>
        <w:rPr>
          <w:b/>
          <w:bCs/>
        </w:rPr>
        <w:t xml:space="preserve">One row, one place.</w:t>
      </w:r>
      <w:r>
        <w:t xml:space="preserve"> </w:t>
      </w:r>
      <w:r>
        <w:t xml:space="preserve">Every item below appears in exactly one table. An item addressing two</w:t>
      </w:r>
      <w:r>
        <w:t xml:space="preserve"> </w:t>
      </w:r>
      <w:r>
        <w:t xml:space="preserve">audiences is placed where the cost of acting lands, and named in the other bucket by bare</w:t>
      </w:r>
      <w:r>
        <w:t xml:space="preserve"> </w:t>
      </w:r>
      <w:r>
        <w:t xml:space="preserve">cross-reference only. So the assessment-procedure companions sit with the assessor, though a</w:t>
      </w:r>
      <w:r>
        <w:t xml:space="preserve"> </w:t>
      </w:r>
      <w:r>
        <w:t xml:space="preserve">producing team meets them through a customer; the SBOM minimum elements sit with the producer, who</w:t>
      </w:r>
      <w:r>
        <w:t xml:space="preserve"> </w:t>
      </w:r>
      <w:r>
        <w:t xml:space="preserve">generates the artifact; the SBOM formats sit in infrastructure, because nobody conforms to a format;</w:t>
      </w:r>
      <w:r>
        <w:t xml:space="preserve"> </w:t>
      </w:r>
      <w:r>
        <w:t xml:space="preserve">and the defense CUI chain sits with the operating organization, because it is about systems you</w:t>
      </w:r>
      <w:r>
        <w:t xml:space="preserve"> </w:t>
      </w:r>
      <w:r>
        <w:t xml:space="preserve">operate -- the correction most often needed.</w:t>
      </w:r>
    </w:p>
    <w:p>
      <w:r>
        <w:pict>
          <v:rect style="width:0;height:1.5pt" o:hralign="center" o:hrstd="t" o:hr="t"/>
        </w:pict>
      </w:r>
    </w:p>
    <w:bookmarkEnd w:id="17"/>
    <w:bookmarkStart w:id="18" w:name="cut-two-what-does-it-actually-issue"/>
    <w:p>
      <w:pPr>
        <w:pStyle w:val="Heading2"/>
      </w:pPr>
      <w:r>
        <w:t xml:space="preserve">Cut two: what does it actually issue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 issues</w:t>
            </w:r>
          </w:p>
        </w:tc>
        <w:tc>
          <w:tcPr/>
          <w:p>
            <w:pPr>
              <w:pStyle w:val="Compact"/>
            </w:pPr>
            <w:r>
              <w:t xml:space="preserve">What that means when somebody asks you for it</w:t>
            </w:r>
          </w:p>
        </w:tc>
        <w:tc>
          <w:tcPr/>
          <w:p>
            <w:pPr>
              <w:pStyle w:val="Compact"/>
            </w:pPr>
            <w:r>
              <w:t xml:space="preserve">Examples on this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There is no artifact to obtain. Offer what exists: named control correspondences, your own evidence, a written program</w:t>
            </w:r>
          </w:p>
        </w:tc>
        <w:tc>
          <w:tcPr/>
          <w:p>
            <w:pPr>
              <w:pStyle w:val="Compact"/>
            </w:pPr>
            <w:r>
              <w:t xml:space="preserve">Most items here, including every framework and every control 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self-attestation you sign yourself</w:t>
            </w:r>
          </w:p>
        </w:tc>
        <w:tc>
          <w:tcPr/>
          <w:p>
            <w:pPr>
              <w:pStyle w:val="Compact"/>
            </w:pPr>
            <w:r>
              <w:t xml:space="preserve">The signature is the instrument, and the exposure is yours. Nobody independent looked</w:t>
            </w:r>
          </w:p>
        </w:tc>
        <w:tc>
          <w:tcPr/>
          <w:p>
            <w:pPr>
              <w:pStyle w:val="Compact"/>
            </w:pPr>
            <w:r>
              <w:t xml:space="preserve">The federal attestation form; the defense self-assessment score and annual affirmation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assessment or examination report</w:t>
            </w:r>
          </w:p>
        </w:tc>
        <w:tc>
          <w:tcPr/>
          <w:p>
            <w:pPr>
              <w:pStyle w:val="Compact"/>
            </w:pPr>
            <w:r>
              <w:t xml:space="preserve">Usually restricted in use, and there is no pass mark. SOC 2 carries a licensed firm's opinion; a CUI assessment carries findings only</w:t>
            </w:r>
          </w:p>
        </w:tc>
        <w:tc>
          <w:tcPr/>
          <w:p>
            <w:pPr>
              <w:pStyle w:val="Compact"/>
            </w:pPr>
            <w:r>
              <w:t xml:space="preserve">SOC 2; a CUI assessment run to the published procedures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third-party certificate from an accredited body</w:t>
            </w:r>
          </w:p>
        </w:tc>
        <w:tc>
          <w:tcPr/>
          <w:p>
            <w:pPr>
              <w:pStyle w:val="Compact"/>
            </w:pPr>
            <w:r>
              <w:t xml:space="preserve">A certificate for a stated scope. The accreditation is what gives it weight</w:t>
            </w:r>
          </w:p>
        </w:tc>
        <w:tc>
          <w:tcPr/>
          <w:p>
            <w:pPr>
              <w:pStyle w:val="Compact"/>
            </w:pPr>
            <w:r>
              <w:t xml:space="preserve">ISO/IEC 27001; one rung of the defense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government program status or certification</w:t>
            </w:r>
          </w:p>
        </w:tc>
        <w:tc>
          <w:tcPr/>
          <w:p>
            <w:pPr>
              <w:pStyle w:val="Compact"/>
            </w:pPr>
            <w:r>
              <w:t xml:space="preserve">A status recorded and published by the program, for a named offering rather than for a company</w:t>
            </w:r>
          </w:p>
        </w:tc>
        <w:tc>
          <w:tcPr/>
          <w:p>
            <w:pPr>
              <w:pStyle w:val="Compact"/>
            </w:pPr>
            <w:r>
              <w:t xml:space="preserve">FedRAMP, GovRAMP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conformity mark you affix yourself after your own assessment</w:t>
            </w:r>
          </w:p>
        </w:tc>
        <w:tc>
          <w:tcPr/>
          <w:p>
            <w:pPr>
              <w:pStyle w:val="Compact"/>
            </w:pPr>
            <w:r>
              <w:t xml:space="preserve">You assess, declare and mark. A third body is involved only for some product classes</w:t>
            </w:r>
          </w:p>
        </w:tc>
        <w:tc>
          <w:tcPr/>
          <w:p>
            <w:pPr>
              <w:pStyle w:val="Compact"/>
            </w:pPr>
            <w:r>
              <w:t xml:space="preserve">The EU Cyber Resilience 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Identifiers, a score, or a measurement definition</w:t>
            </w:r>
          </w:p>
        </w:tc>
        <w:tc>
          <w:tcPr/>
          <w:p>
            <w:pPr>
              <w:pStyle w:val="Compact"/>
            </w:pPr>
            <w:r>
              <w:t xml:space="preserve">Data, not a verdict. A measurement definition produces a number only once some tool implements it</w:t>
            </w:r>
          </w:p>
        </w:tc>
        <w:tc>
          <w:tcPr/>
          <w:p>
            <w:pPr>
              <w:pStyle w:val="Compact"/>
            </w:pPr>
            <w:r>
              <w:t xml:space="preserve">CWE, CVE, EPSS, the automated source code measures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addressed-to-a-software-producer"/>
    <w:p>
      <w:pPr>
        <w:pStyle w:val="Heading2"/>
      </w:pPr>
      <w:r>
        <w:t xml:space="preserve">Addressed to a software producer</w:t>
      </w:r>
    </w:p>
    <w:p>
      <w:pPr>
        <w:pStyle w:val="FirstParagraph"/>
      </w:pPr>
      <w:r>
        <w:t xml:space="preserve">These describe how software is built and released. One of them binds a producer directly; the rest</w:t>
      </w:r>
      <w:r>
        <w:t xml:space="preserve"> </w:t>
      </w:r>
      <w:r>
        <w:t xml:space="preserve">arrive only when a customer, a contract or a package ecosystem names them.</w:t>
      </w:r>
    </w:p>
    <w:bookmarkStart w:id="20" w:name="requirement-shaped-and-binding-items"/>
    <w:p>
      <w:pPr>
        <w:pStyle w:val="Heading3"/>
      </w:pPr>
      <w:r>
        <w:t xml:space="preserve">Requirement-shaped and binding items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issues</w:t>
            </w:r>
          </w:p>
        </w:tc>
        <w:tc>
          <w:tcPr/>
          <w:p>
            <w:pPr>
              <w:pStyle w:val="Compact"/>
            </w:pPr>
            <w:r>
              <w:t xml:space="preserve">What puts you in scope</w:t>
            </w:r>
          </w:p>
        </w:tc>
        <w:tc>
          <w:tcPr/>
          <w:p>
            <w:pPr>
              <w:pStyle w:val="Compact"/>
            </w:pPr>
            <w:r>
              <w:t xml:space="preserve">Status (checked 2026-08-06)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800-218 v1.1 (SSDF)</w:t>
            </w:r>
          </w:p>
        </w:tc>
        <w:tc>
          <w:tcPr/>
          <w:p>
            <w:pPr>
              <w:pStyle w:val="Compact"/>
            </w:pPr>
            <w:r>
              <w:t xml:space="preserve">Nothing. No conformance criteria, no levels, no assessment procedure</w:t>
            </w:r>
          </w:p>
        </w:tc>
        <w:tc>
          <w:tcPr/>
          <w:p>
            <w:pPr>
              <w:pStyle w:val="Compact"/>
            </w:pPr>
            <w:r>
              <w:t xml:space="preserve">A contract clause, an agency assurance policy, or a questionnaire quoting practice identifiers</w:t>
            </w:r>
          </w:p>
        </w:tc>
        <w:tc>
          <w:tcPr/>
          <w:p>
            <w:pPr>
              <w:pStyle w:val="Compact"/>
            </w:pPr>
            <w:r>
              <w:t xml:space="preserve">Final since 2022-02-03 and not withdrawn. A draft successor, SP 800-218r1 (v1.2), has been open since 2025-12-17 and is not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800-218A (SSDF community profile for AI models)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Building or fine-tuning generative AI or dual-use foundation models, when a contract names it</w:t>
            </w:r>
          </w:p>
        </w:tc>
        <w:tc>
          <w:tcPr/>
          <w:p>
            <w:pPr>
              <w:pStyle w:val="Compact"/>
            </w:pPr>
            <w:r>
              <w:t xml:space="preserve">Final 2024-07-26. The executive order that commissioned it was revoked 2025-01-20; the publication itself stands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CISA Secure Software Development Attestation Form</w:t>
            </w:r>
          </w:p>
        </w:tc>
        <w:tc>
          <w:tcPr/>
          <w:p>
            <w:pPr>
              <w:pStyle w:val="Compact"/>
            </w:pPr>
            <w:r>
              <w:t xml:space="preserve">A self-attestation signed by an executive, or, on an alternative route the form itself permits, a third-party assessment attached in place of the signature. Not a certificate and not an audit</w:t>
            </w:r>
          </w:p>
        </w:tc>
        <w:tc>
          <w:tcPr/>
          <w:p>
            <w:pPr>
              <w:pStyle w:val="Compact"/>
            </w:pPr>
            <w:r>
              <w:t xml:space="preserve">An individual agency's contract term or request</w:t>
            </w:r>
          </w:p>
        </w:tc>
        <w:tc>
          <w:tcPr/>
          <w:p>
            <w:pPr>
              <w:pStyle w:val="Compact"/>
            </w:pPr>
            <w:r>
              <w:t xml:space="preserve">Still published, with clearance to 2027-03-31. Optional for agencies since the memoranda requiring it were rescinded on 2026-01-23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ASVS 5.0.0</w:t>
            </w:r>
          </w:p>
        </w:tc>
        <w:tc>
          <w:tcPr/>
          <w:p>
            <w:pPr>
              <w:pStyle w:val="Compact"/>
            </w:pPr>
            <w:r>
              <w:t xml:space="preserve">Nothing. Its own assessment chapter states that OWASP certifies no vendor or software</w:t>
            </w:r>
          </w:p>
        </w:tc>
        <w:tc>
          <w:tcPr/>
          <w:p>
            <w:pPr>
              <w:pStyle w:val="Compact"/>
            </w:pPr>
            <w:r>
              <w:t xml:space="preserve">A customer contract or questionnaire naming a verification level</w:t>
            </w:r>
          </w:p>
        </w:tc>
        <w:tc>
          <w:tcPr/>
          <w:p>
            <w:pPr>
              <w:pStyle w:val="Compact"/>
            </w:pPr>
            <w:r>
              <w:t xml:space="preserve">Released 2025-05-30, superseding 4.0.3 of 2021-10-28. Identifiers were reorganized rather than carried across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 Cyber Resilience Act, Regulation (EU) 2024/2847</w:t>
            </w:r>
          </w:p>
        </w:tc>
        <w:tc>
          <w:tcPr/>
          <w:p>
            <w:pPr>
              <w:pStyle w:val="Compact"/>
            </w:pPr>
            <w:r>
              <w:t xml:space="preserve">A declaration of conformity and a mark you affix yourself; some product classes require a notified body</w:t>
            </w:r>
          </w:p>
        </w:tc>
        <w:tc>
          <w:tcPr/>
          <w:p>
            <w:pPr>
              <w:pStyle w:val="Compact"/>
            </w:pPr>
            <w:r>
              <w:t xml:space="preserve">Placing a product with digital elements on the EU market. The trigger is where the product goes</w:t>
            </w:r>
          </w:p>
        </w:tc>
        <w:tc>
          <w:tcPr/>
          <w:p>
            <w:pPr>
              <w:pStyle w:val="Compact"/>
            </w:pPr>
            <w:r>
              <w:t xml:space="preserve">In force 2024-12-10. Reporting obligations apply from 2026-09-11; the main body of obligations from 2027-12-11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SLSA v1.2</w:t>
            </w:r>
          </w:p>
        </w:tc>
        <w:tc>
          <w:tcPr/>
          <w:p>
            <w:pPr>
              <w:pStyle w:val="Compact"/>
            </w:pPr>
            <w:r>
              <w:t xml:space="preserve">Nothing. Machine-readable provenance the consumer verifies. There is no register of levels</w:t>
            </w:r>
          </w:p>
        </w:tc>
        <w:tc>
          <w:tcPr/>
          <w:p>
            <w:pPr>
              <w:pStyle w:val="Compact"/>
            </w:pPr>
            <w:r>
              <w:t xml:space="preserve">A customer or a package ecosystem asking for build provenance</w:t>
            </w:r>
          </w:p>
        </w:tc>
        <w:tc>
          <w:tcPr/>
          <w:p>
            <w:pPr>
              <w:pStyle w:val="Compact"/>
            </w:pPr>
            <w:r>
              <w:t xml:space="preserve">Approved 2025-11-12, released 2025-11-24. It restored a Source track with four levels; there is still no Build L4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CISA 2026 Minimum Elements for an SBOM</w:t>
            </w:r>
          </w:p>
        </w:tc>
        <w:tc>
          <w:tcPr/>
          <w:p>
            <w:pPr>
              <w:pStyle w:val="Compact"/>
            </w:pPr>
            <w:r>
              <w:t xml:space="preserve">Nothing. It defines fields, states that it creates no new requirements, and places accuracy, coverage and completeness out of its own scope</w:t>
            </w:r>
          </w:p>
        </w:tc>
        <w:tc>
          <w:tcPr/>
          <w:p>
            <w:pPr>
              <w:pStyle w:val="Compact"/>
            </w:pPr>
            <w:r>
              <w:t xml:space="preserve">A contract term requiring an SBOM. In US federal contracting that is now each agency's own choice</w:t>
            </w:r>
          </w:p>
        </w:tc>
        <w:tc>
          <w:tcPr/>
          <w:p>
            <w:pPr>
              <w:pStyle w:val="Compact"/>
            </w:pPr>
            <w:r>
              <w:t xml:space="preserve">Published 2026-07-29, replacing the minimum elements of 2021-07-12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5055:2021 and OMG ASCQM 1.1</w:t>
            </w:r>
          </w:p>
        </w:tc>
        <w:tc>
          <w:tcPr/>
          <w:p>
            <w:pPr>
              <w:pStyle w:val="Compact"/>
            </w:pPr>
            <w:r>
              <w:t xml:space="preserve">Nothing. Defined counts of severe structural weaknesses, once a tool implements them</w:t>
            </w:r>
          </w:p>
        </w:tc>
        <w:tc>
          <w:tcPr/>
          <w:p>
            <w:pPr>
              <w:pStyle w:val="Compact"/>
            </w:pPr>
            <w:r>
              <w:t xml:space="preserve">An enterprise or supplier contract specifying automated source code measures</w:t>
            </w:r>
          </w:p>
        </w:tc>
        <w:tc>
          <w:tcPr/>
          <w:p>
            <w:pPr>
              <w:pStyle w:val="Compact"/>
            </w:pPr>
            <w:r>
              <w:t xml:space="preserve">ISO adoption announced 2021-04-07; ASCQM 1.1 formal since July 2022. One measure family in two venues, not two obligations</w:t>
            </w:r>
          </w:p>
        </w:tc>
      </w:tr>
    </w:tbl>
    <w:p>
      <w:pPr>
        <w:pStyle w:val="BodyText"/>
      </w:pPr>
      <w:r>
        <w:t xml:space="preserve">Four notes the cells cannot carry.</w:t>
      </w:r>
      <w:r>
        <w:t xml:space="preserve"> </w:t>
      </w:r>
      <w:r>
        <w:rPr>
          <w:b/>
          <w:bCs/>
        </w:rPr>
        <w:t xml:space="preserve">SLSA provenance is written as an in-toto attestation</w:t>
      </w:r>
      <w:r>
        <w:t xml:space="preserve">, so the</w:t>
      </w:r>
      <w:r>
        <w:t xml:space="preserve"> </w:t>
      </w:r>
      <w:r>
        <w:t xml:space="preserve">two are layered rather than rival options; a requirements document offering a choice between them was</w:t>
      </w:r>
      <w:r>
        <w:t xml:space="preserve"> </w:t>
      </w:r>
      <w:r>
        <w:t xml:space="preserve">written by someone who had not read either.</w:t>
      </w:r>
      <w:r>
        <w:t xml:space="preserve"> </w:t>
      </w:r>
      <w:r>
        <w:rPr>
          <w:b/>
          <w:bCs/>
        </w:rPr>
        <w:t xml:space="preserve">Sigstore</w:t>
      </w:r>
      <w:r>
        <w:t xml:space="preserve"> </w:t>
      </w:r>
      <w:r>
        <w:t xml:space="preserve">issues identity-bound short-lived</w:t>
      </w:r>
      <w:r>
        <w:t xml:space="preserve"> </w:t>
      </w:r>
      <w:r>
        <w:t xml:space="preserve">certificates plus a public transparency log entry, which evidence who signed and when and nothing</w:t>
      </w:r>
      <w:r>
        <w:t xml:space="preserve"> </w:t>
      </w:r>
      <w:r>
        <w:t xml:space="preserve">about what was signed; its public instances are community-operated with no service level. And</w:t>
      </w:r>
      <w:r>
        <w:t xml:space="preserve"> </w:t>
      </w:r>
      <w:r>
        <w:rPr>
          <w:b/>
          <w:bCs/>
        </w:rPr>
        <w:t xml:space="preserve">a conforming SBOM can still be inaccurate and incomplete</w:t>
      </w:r>
      <w:r>
        <w:t xml:space="preserve"> </w:t>
      </w:r>
      <w:r>
        <w:t xml:space="preserve">-- the 2026 minimum elements say so</w:t>
      </w:r>
      <w:r>
        <w:t xml:space="preserve"> </w:t>
      </w:r>
      <w:r>
        <w:t xml:space="preserve">themselves, and point at a signature, at binary analysis, and at exploitability advisories as</w:t>
      </w:r>
      <w:r>
        <w:t xml:space="preserve"> </w:t>
      </w:r>
      <w:r>
        <w:t xml:space="preserve">separate mechanisms. Component inventory and build provenance as controls -- rather than as any named</w:t>
      </w:r>
      <w:r>
        <w:t xml:space="preserve"> </w:t>
      </w:r>
      <w:r>
        <w:t xml:space="preserve">framework -- are covered in</w:t>
      </w:r>
      <w:r>
        <w:t xml:space="preserve"> </w:t>
      </w:r>
      <w:hyperlink r:id="rId19">
        <w:r>
          <w:rPr>
            <w:rStyle w:val="Hyperlink"/>
          </w:rPr>
          <w:t xml:space="preserve">Dependency integrity</w:t>
        </w:r>
      </w:hyperlink>
      <w:r>
        <w:t xml:space="preserve">, which names no baseline</w:t>
      </w:r>
      <w:r>
        <w:t xml:space="preserve"> </w:t>
      </w:r>
      <w:r>
        <w:t xml:space="preserve">and claims correspondence with none.</w:t>
      </w:r>
    </w:p>
    <w:bookmarkEnd w:id="20"/>
    <w:bookmarkStart w:id="21" w:name="rankings-and-awareness-lists"/>
    <w:p>
      <w:pPr>
        <w:pStyle w:val="Heading3"/>
      </w:pPr>
      <w:r>
        <w:t xml:space="preserve">Rankings and awareness lists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issues</w:t>
            </w:r>
          </w:p>
        </w:tc>
        <w:tc>
          <w:tcPr/>
          <w:p>
            <w:pPr>
              <w:pStyle w:val="Compact"/>
            </w:pPr>
            <w:r>
              <w:t xml:space="preserve">What puts you in scope</w:t>
            </w:r>
          </w:p>
        </w:tc>
        <w:tc>
          <w:tcPr/>
          <w:p>
            <w:pPr>
              <w:pStyle w:val="Compact"/>
            </w:pPr>
            <w:r>
              <w:t xml:space="preserve">Status (checked 2026-08-06)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Top 10:2025</w:t>
            </w:r>
          </w:p>
        </w:tc>
        <w:tc>
          <w:tcPr/>
          <w:p>
            <w:pPr>
              <w:pStyle w:val="Compact"/>
            </w:pPr>
            <w:r>
              <w:t xml:space="preserve">Nothing. OWASP calls it an awareness document</w:t>
            </w:r>
          </w:p>
        </w:tc>
        <w:tc>
          <w:tcPr/>
          <w:p>
            <w:pPr>
              <w:pStyle w:val="Compact"/>
            </w:pPr>
            <w:r>
              <w:t xml:space="preserve">A contract clause or questionnaire saying a product was tested against it, and scanner report headings</w:t>
            </w:r>
          </w:p>
        </w:tc>
        <w:tc>
          <w:tcPr/>
          <w:p>
            <w:pPr>
              <w:pStyle w:val="Compact"/>
            </w:pPr>
            <w:r>
              <w:t xml:space="preserve">The 2025 edition is current on the project's own page, which stamps no final publication date. A release candidate in November 2025 and finalization in January 2026, per secondary coverage. Two categories are new, and an older category was absorbed into another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Top 10 for LLM Applications, 2026 edition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An AI feature review, a customer AI questionnaire, or an internal policy naming it</w:t>
            </w:r>
          </w:p>
        </w:tc>
        <w:tc>
          <w:tcPr/>
          <w:p>
            <w:pPr>
              <w:pStyle w:val="Compact"/>
            </w:pPr>
            <w:r>
              <w:t xml:space="preserve">Dated 2026-08-03 on the project's own resource page, with press coverage on 2026-08-04. The prior edition dates from 2024-11-18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CWE Top 25, 2025 edition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A policy or questionnaire naming it, and occasionally procurement language asking for coverage</w:t>
            </w:r>
          </w:p>
        </w:tc>
        <w:tc>
          <w:tcPr/>
          <w:p>
            <w:pPr>
              <w:pStyle w:val="Compact"/>
            </w:pPr>
            <w:r>
              <w:t xml:space="preserve">2025 edition announced 2025-12-11, project page updated 2026-01-29. Any reference to a 2026 edition is unconfirmed</w:t>
            </w:r>
          </w:p>
        </w:tc>
      </w:tr>
    </w:tbl>
    <w:p>
      <w:pPr>
        <w:pStyle w:val="BodyText"/>
      </w:pPr>
      <w:r>
        <w:rPr>
          <w:b/>
          <w:bCs/>
        </w:rPr>
        <w:t xml:space="preserve">A ranking has no completion condition and cannot be discharged as written.</w:t>
      </w:r>
      <w:r>
        <w:t xml:space="preserve"> </w:t>
      </w:r>
      <w:r>
        <w:t xml:space="preserve">A clause requiring</w:t>
      </w:r>
      <w:r>
        <w:t xml:space="preserve"> </w:t>
      </w:r>
      <w:r>
        <w:t xml:space="preserve">software to be free of the issues in an ordered list of categories never says when verification is</w:t>
      </w:r>
      <w:r>
        <w:t xml:space="preserve"> </w:t>
      </w:r>
      <w:r>
        <w:t xml:space="preserve">finished, so a program scoped that way finishes when the scanner stops printing. A requirement set is</w:t>
      </w:r>
      <w:r>
        <w:t xml:space="preserve"> </w:t>
      </w:r>
      <w:r>
        <w:t xml:space="preserve">verifiable item by item and has a defensible done. Convert a ranking clause into a requirement-set</w:t>
      </w:r>
      <w:r>
        <w:t xml:space="preserve"> </w:t>
      </w:r>
      <w:r>
        <w:t xml:space="preserve">clause</w:t>
      </w:r>
      <w:r>
        <w:t xml:space="preserve"> </w:t>
      </w:r>
      <w:r>
        <w:rPr>
          <w:b/>
          <w:bCs/>
        </w:rPr>
        <w:t xml:space="preserve">while the clause is being agreed</w:t>
      </w:r>
      <w:r>
        <w:t xml:space="preserve">: by assessment time the only remaining options are to</w:t>
      </w:r>
      <w:r>
        <w:t xml:space="preserve"> </w:t>
      </w:r>
      <w:r>
        <w:t xml:space="preserve">argue or to over-deliver. That conversation is the cheapest thing on this page.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098e3a8f26fc13ca3ead059c5f4e902207fd433"/>
    <w:p>
      <w:pPr>
        <w:pStyle w:val="Heading2"/>
      </w:pPr>
      <w:r>
        <w:t xml:space="preserve">Addressed to an organization that operates systems</w:t>
      </w:r>
    </w:p>
    <w:p>
      <w:pPr>
        <w:pStyle w:val="FirstParagraph"/>
      </w:pPr>
      <w:r>
        <w:t xml:space="preserve">None of these certifies a product, and all of them are routinely offered as product evidence. Where</w:t>
      </w:r>
      <w:r>
        <w:t xml:space="preserve"> </w:t>
      </w:r>
      <w:r>
        <w:t xml:space="preserve">one reaches a software producer, it reaches them through a contract rather than through the regime.</w:t>
      </w:r>
    </w:p>
    <w:p>
      <w:pPr>
        <w:pStyle w:val="BodyText"/>
      </w:pPr>
      <w:r>
        <w:t xml:space="preserve">The chain worth carrying, because it tells you which document a question belongs to: FIPS 199</w:t>
      </w:r>
      <w:r>
        <w:t xml:space="preserve"> </w:t>
      </w:r>
      <w:r>
        <w:t xml:space="preserve">categorizes, SP 800-60 Rev. 1 guides the categorizing, FIPS 200 sets a floor, SP 800-53B selects a</w:t>
      </w:r>
      <w:r>
        <w:t xml:space="preserve"> </w:t>
      </w:r>
      <w:r>
        <w:t xml:space="preserve">baseline, SP 800-53 supplies the control text, and SP 800-53A assesses it. SP 800-122 sits to the</w:t>
      </w:r>
      <w:r>
        <w:t xml:space="preserve"> </w:t>
      </w:r>
      <w:r>
        <w:t xml:space="preserve">side, covering personal data. Most questions arrive attached to the wrong link.</w:t>
      </w:r>
    </w:p>
    <w:bookmarkStart w:id="23" w:name="certification-and-program-regimes"/>
    <w:p>
      <w:pPr>
        <w:pStyle w:val="Heading3"/>
      </w:pPr>
      <w:r>
        <w:t xml:space="preserve">Certification and program regimes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issues</w:t>
            </w:r>
          </w:p>
        </w:tc>
        <w:tc>
          <w:tcPr/>
          <w:p>
            <w:pPr>
              <w:pStyle w:val="Compact"/>
            </w:pPr>
            <w:r>
              <w:t xml:space="preserve">What puts you in scope</w:t>
            </w:r>
          </w:p>
        </w:tc>
        <w:tc>
          <w:tcPr/>
          <w:p>
            <w:pPr>
              <w:pStyle w:val="Compact"/>
            </w:pPr>
            <w:r>
              <w:t xml:space="preserve">Status (checked 2026-08-06)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27001:2022 (plus Amendment 1:2024)</w:t>
            </w:r>
          </w:p>
        </w:tc>
        <w:tc>
          <w:tcPr/>
          <w:p>
            <w:pPr>
              <w:pStyle w:val="Compact"/>
            </w:pPr>
            <w:r>
              <w:t xml:space="preserve">A third-party certificate from a certification body, for a stated scope. ISO itself issues nothing</w:t>
            </w:r>
          </w:p>
        </w:tc>
        <w:tc>
          <w:tcPr/>
          <w:p>
            <w:pPr>
              <w:pStyle w:val="Compact"/>
            </w:pPr>
            <w:r>
              <w:t xml:space="preserve">A customer or procurement requirement, most often in vendor onboarding</w:t>
            </w:r>
          </w:p>
        </w:tc>
        <w:tc>
          <w:tcPr/>
          <w:p>
            <w:pPr>
              <w:pStyle w:val="Compact"/>
            </w:pPr>
            <w:r>
              <w:t xml:space="preserve">Published 2022-10; Amendment 1 published 2024-02-23. The 2013-edition transition ended 2025-10-31, per secondary 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27002:2022</w:t>
            </w:r>
          </w:p>
        </w:tc>
        <w:tc>
          <w:tcPr/>
          <w:p>
            <w:pPr>
              <w:pStyle w:val="Compact"/>
            </w:pPr>
            <w:r>
              <w:t xml:space="preserve">Nothing. It explains how to implement the controls the certifiable standard lists</w:t>
            </w:r>
          </w:p>
        </w:tc>
        <w:tc>
          <w:tcPr/>
          <w:p>
            <w:pPr>
              <w:pStyle w:val="Compact"/>
            </w:pPr>
            <w:r>
              <w:t xml:space="preserve">No independent trigger. It arrives beside a certification program, or in error on a questionnaire</w:t>
            </w:r>
          </w:p>
        </w:tc>
        <w:tc>
          <w:tcPr/>
          <w:p>
            <w:pPr>
              <w:pStyle w:val="Compact"/>
            </w:pPr>
            <w:r>
              <w:t xml:space="preserve">Published 2022-02. It received a climate-related amendment in the same 2024 cycle; the designation was not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(Type 1 and Type 2)</w:t>
            </w:r>
          </w:p>
        </w:tc>
        <w:tc>
          <w:tcPr/>
          <w:p>
            <w:pPr>
              <w:pStyle w:val="Compact"/>
            </w:pPr>
            <w:r>
              <w:t xml:space="preserve">An examination report carrying a licensed firm's opinion. Restricted use, no pass mark, no certificate</w:t>
            </w:r>
          </w:p>
        </w:tc>
        <w:tc>
          <w:tcPr/>
          <w:p>
            <w:pPr>
              <w:pStyle w:val="Compact"/>
            </w:pPr>
            <w:r>
              <w:t xml:space="preserve">A customer questionnaire or contract clause, overwhelmingly in US business-to-business sales</w:t>
            </w:r>
          </w:p>
        </w:tc>
        <w:tc>
          <w:tcPr/>
          <w:p>
            <w:pPr>
              <w:pStyle w:val="Compact"/>
            </w:pPr>
            <w:r>
              <w:t xml:space="preserve">Criteria are the 2017 Trust Services Criteria with 2022 revised points of focus, posted 2023-09-30. The governing attestation standard applies to reports dated on or after 2022-06-15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</w:t>
            </w:r>
          </w:p>
        </w:tc>
        <w:tc>
          <w:tcPr/>
          <w:p>
            <w:pPr>
              <w:pStyle w:val="Compact"/>
            </w:pPr>
            <w:r>
              <w:t xml:space="preserve">A program certification for a service offering, listed publicly. An agency's own authorization stays a separate decision</w:t>
            </w:r>
          </w:p>
        </w:tc>
        <w:tc>
          <w:tcPr/>
          <w:p>
            <w:pPr>
              <w:pStyle w:val="Compact"/>
            </w:pPr>
            <w:r>
              <w:t xml:space="preserve">Selling a cloud service to a US federal agency</w:t>
            </w:r>
          </w:p>
        </w:tc>
        <w:tc>
          <w:tcPr/>
          <w:p>
            <w:pPr>
              <w:pStyle w:val="Compact"/>
            </w:pPr>
            <w:r>
              <w:t xml:space="preserve">Founding 2011 memorandum rescinded 2024-07-25. Phase 3 of the replacement model active since 2026-04. Rev5 intake closes 2027-06-11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GovRAMP (formerly StateRAMP)</w:t>
            </w:r>
          </w:p>
        </w:tc>
        <w:tc>
          <w:tcPr/>
          <w:p>
            <w:pPr>
              <w:pStyle w:val="Compact"/>
            </w:pPr>
            <w:r>
              <w:t xml:space="preserve">A verification status granted by the program office and published on a participants list</w:t>
            </w:r>
          </w:p>
        </w:tc>
        <w:tc>
          <w:tcPr/>
          <w:p>
            <w:pPr>
              <w:pStyle w:val="Compact"/>
            </w:pPr>
            <w:r>
              <w:t xml:space="preserve">A US state, local, tribal or education procurement requirement, varying by jurisdiction</w:t>
            </w:r>
          </w:p>
        </w:tc>
        <w:tc>
          <w:tcPr/>
          <w:p>
            <w:pPr>
              <w:pStyle w:val="Compact"/>
            </w:pPr>
            <w:r>
              <w:t xml:space="preserve">Rebranded 2025-02-14. StateRAMP remains the legal entity name, operating as GovRAMP, so both names are legitimately live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DSS v4.0.1</w:t>
            </w:r>
          </w:p>
        </w:tc>
        <w:tc>
          <w:tcPr/>
          <w:p>
            <w:pPr>
              <w:pStyle w:val="Compact"/>
            </w:pPr>
            <w:r>
              <w:t xml:space="preserve">A report or a self-assessment questionnaire, plus a signed attestation. No certificate exists</w:t>
            </w:r>
          </w:p>
        </w:tc>
        <w:tc>
          <w:tcPr/>
          <w:p>
            <w:pPr>
              <w:pStyle w:val="Compact"/>
            </w:pPr>
            <w:r>
              <w:t xml:space="preserve">An agreement with an acquirer or a brand, arriving through the payment chain rather than a regulator</w:t>
            </w:r>
          </w:p>
        </w:tc>
        <w:tc>
          <w:tcPr/>
          <w:p>
            <w:pPr>
              <w:pStyle w:val="Compact"/>
            </w:pPr>
            <w:r>
              <w:t xml:space="preserve">v4.0.1 published 2024-06; v4.0 retired 2024-12-31; the future-dated requirements became mandatory 2025-03-31</w:t>
            </w:r>
          </w:p>
        </w:tc>
      </w:tr>
    </w:tbl>
    <w:p>
      <w:pPr>
        <w:pStyle w:val="BodyText"/>
      </w:pPr>
      <w:r>
        <w:t xml:space="preserve">The cloud programs assess a</w:t>
      </w:r>
      <w:r>
        <w:t xml:space="preserve"> </w:t>
      </w:r>
      <w:r>
        <w:rPr>
          <w:b/>
          <w:bCs/>
        </w:rPr>
        <w:t xml:space="preserve">service offering you operate</w:t>
      </w:r>
      <w:r>
        <w:t xml:space="preserve">, which is why they sit here rather than</w:t>
      </w:r>
      <w:r>
        <w:t xml:space="preserve"> </w:t>
      </w:r>
      <w:r>
        <w:t xml:space="preserve">with the producer items even though a software company usually pays for them. They are also fairly</w:t>
      </w:r>
      <w:r>
        <w:t xml:space="preserve"> </w:t>
      </w:r>
      <w:r>
        <w:t xml:space="preserve">described as producer-facing, since the trigger is a sale; they sit here because the unit assessed is</w:t>
      </w:r>
      <w:r>
        <w:t xml:space="preserve"> </w:t>
      </w:r>
      <w:r>
        <w:t xml:space="preserve">an offering with an authorization boundary. One has begun leveraging an external framework for its</w:t>
      </w:r>
      <w:r>
        <w:t xml:space="preserve"> </w:t>
      </w:r>
      <w:r>
        <w:t xml:space="preserve">lightest class only, and the program calls that class transitory: narrow, and not a shortcut.</w:t>
      </w:r>
    </w:p>
    <w:bookmarkEnd w:id="23"/>
    <w:bookmarkStart w:id="24" w:name="sector-and-jurisdiction-regimes"/>
    <w:p>
      <w:pPr>
        <w:pStyle w:val="Heading3"/>
      </w:pPr>
      <w:r>
        <w:t xml:space="preserve">Sector and jurisdiction regimes</w:t>
      </w:r>
    </w:p>
    <w:p>
      <w:pPr>
        <w:pStyle w:val="FirstParagraph"/>
      </w:pPr>
      <w:r>
        <w:t xml:space="preserve">Six regimes, presented as members of a set. None gets a worked example, and the operational</w:t>
      </w:r>
      <w:r>
        <w:t xml:space="preserve"> </w:t>
      </w:r>
      <w:r>
        <w:t xml:space="preserve">vocabulary of each is deliberately absent.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issues</w:t>
            </w:r>
          </w:p>
        </w:tc>
        <w:tc>
          <w:tcPr/>
          <w:p>
            <w:pPr>
              <w:pStyle w:val="Compact"/>
            </w:pPr>
            <w:r>
              <w:t xml:space="preserve">What puts you in scope</w:t>
            </w:r>
          </w:p>
        </w:tc>
        <w:tc>
          <w:tcPr/>
          <w:p>
            <w:pPr>
              <w:pStyle w:val="Compact"/>
            </w:pPr>
            <w:r>
              <w:t xml:space="preserve">Status (checked 2026-08-06)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HIPAA Security Rule (45 CFR Part 164 Subpart C)</w:t>
            </w:r>
          </w:p>
        </w:tc>
        <w:tc>
          <w:tcPr/>
          <w:p>
            <w:pPr>
              <w:pStyle w:val="Compact"/>
            </w:pPr>
            <w:r>
              <w:t xml:space="preserve">Nothing. The enforcing agency has stated since 2003 that it recognizes no certification</w:t>
            </w:r>
          </w:p>
        </w:tc>
        <w:tc>
          <w:tcPr/>
          <w:p>
            <w:pPr>
              <w:pStyle w:val="Compact"/>
            </w:pPr>
            <w:r>
              <w:t xml:space="preserve">Being a covered organization, or an agreement flowing the obligation down a contract chain</w:t>
            </w:r>
          </w:p>
        </w:tc>
        <w:tc>
          <w:tcPr/>
          <w:p>
            <w:pPr>
              <w:pStyle w:val="Compact"/>
            </w:pPr>
            <w:r>
              <w:t xml:space="preserve">In force, operative text unchanged. A proposed overhaul published 2025-01-06 is not final; the projected final action has moved to July 2027, per secondary 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FTC Safeguards Rule under GLBA (16 CFR Part 314)</w:t>
            </w:r>
          </w:p>
        </w:tc>
        <w:tc>
          <w:tcPr/>
          <w:p>
            <w:pPr>
              <w:pStyle w:val="Compact"/>
            </w:pPr>
            <w:r>
              <w:t xml:space="preserve">Nothing. A written program, a named accountable individual, and a reporting duty</w:t>
            </w:r>
          </w:p>
        </w:tc>
        <w:tc>
          <w:tcPr/>
          <w:p>
            <w:pPr>
              <w:pStyle w:val="Compact"/>
            </w:pPr>
            <w:r>
              <w:t xml:space="preserve">Meeting the rule's statutory definition of a covered institution, which reaches wider than self-image</w:t>
            </w:r>
          </w:p>
        </w:tc>
        <w:tc>
          <w:tcPr/>
          <w:p>
            <w:pPr>
              <w:pStyle w:val="Compact"/>
            </w:pPr>
            <w:r>
              <w:t xml:space="preserve">Substantive requirements fully effective 2023-06-09. The breach-reporting amendment became effective 2024-05-13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FERPA (20 U.S.C. 1232g; 34 CFR Part 99)</w:t>
            </w:r>
          </w:p>
        </w:tc>
        <w:tc>
          <w:tcPr/>
          <w:p>
            <w:pPr>
              <w:pStyle w:val="Compact"/>
            </w:pPr>
            <w:r>
              <w:t xml:space="preserve">Nothing. No certificate, no assessor, no registry. Enforcement runs through federal funding</w:t>
            </w:r>
          </w:p>
        </w:tc>
        <w:tc>
          <w:tcPr/>
          <w:p>
            <w:pPr>
              <w:pStyle w:val="Compact"/>
            </w:pPr>
            <w:r>
              <w:t xml:space="preserve">Receiving the covered federal funds, or a contract with an institution that does</w:t>
            </w:r>
          </w:p>
        </w:tc>
        <w:tc>
          <w:tcPr/>
          <w:p>
            <w:pPr>
              <w:pStyle w:val="Compact"/>
            </w:pPr>
            <w:r>
              <w:t xml:space="preserve">Statute in force since 1974; the regulations were substantially amended in 2008. No status change in the last 24 months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CJIS Security Policy</w:t>
            </w:r>
          </w:p>
        </w:tc>
        <w:tc>
          <w:tcPr/>
          <w:p>
            <w:pPr>
              <w:pStyle w:val="Compact"/>
            </w:pPr>
            <w:r>
              <w:t xml:space="preserve">No central certificate. An audit by the relevant authority, with the finding landing on the agency</w:t>
            </w:r>
          </w:p>
        </w:tc>
        <w:tc>
          <w:tcPr/>
          <w:p>
            <w:pPr>
              <w:pStyle w:val="Compact"/>
            </w:pPr>
            <w:r>
              <w:t xml:space="preserve">An agreement giving access to the covered data. The policy names contractors within its own scope</w:t>
            </w:r>
          </w:p>
        </w:tc>
        <w:tc>
          <w:tcPr/>
          <w:p>
            <w:pPr>
              <w:pStyle w:val="Compact"/>
            </w:pPr>
            <w:r>
              <w:t xml:space="preserve">v6.0 issued 2024-12-27, v6.1 dated 2026-06-25. Secondary reporting says audits continue against an earlier version; confirm with the auditing authority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NIS2 Directive ((EU) 2022/2555)</w:t>
            </w:r>
          </w:p>
        </w:tc>
        <w:tc>
          <w:tcPr/>
          <w:p>
            <w:pPr>
              <w:pStyle w:val="Compact"/>
            </w:pPr>
            <w:r>
              <w:t xml:space="preserve">Nothing at EU level. Obligations, deadlines and penalties come from a member state's transposing law</w:t>
            </w:r>
          </w:p>
        </w:tc>
        <w:tc>
          <w:tcPr/>
          <w:p>
            <w:pPr>
              <w:pStyle w:val="Compact"/>
            </w:pPr>
            <w:r>
              <w:t xml:space="preserve">Sector plus size thresholds under national law, which has to be tested per member state</w:t>
            </w:r>
          </w:p>
        </w:tc>
        <w:tc>
          <w:tcPr/>
          <w:p>
            <w:pPr>
              <w:pStyle w:val="Compact"/>
            </w:pPr>
            <w:r>
              <w:t xml:space="preserve">Transposition was due 2024-10-17 and remains incomplete. The Commission referred four member states to the Court of Justice in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 cybersecurity disclosure rules (17 CFR Parts 229, 232, 239, 240, 249)</w:t>
            </w:r>
          </w:p>
        </w:tc>
        <w:tc>
          <w:tcPr/>
          <w:p>
            <w:pPr>
              <w:pStyle w:val="Compact"/>
            </w:pPr>
            <w:r>
              <w:t xml:space="preserve">Nothing. The output is a filing. No assessor and no examination</w:t>
            </w:r>
          </w:p>
        </w:tc>
        <w:tc>
          <w:tcPr/>
          <w:p>
            <w:pPr>
              <w:pStyle w:val="Compact"/>
            </w:pPr>
            <w:r>
              <w:t xml:space="preserve">Being a registrant of the relevant class. Nothing about your stack changes the answer</w:t>
            </w:r>
          </w:p>
        </w:tc>
        <w:tc>
          <w:tcPr/>
          <w:p>
            <w:pPr>
              <w:pStyle w:val="Compact"/>
            </w:pPr>
            <w:r>
              <w:t xml:space="preserve">Adopted 2023-07-26, effective 2023-09-05. A rescission petition was filed 2025-05-22; no adopting release was found as of 2026-08-06</w:t>
            </w:r>
          </w:p>
        </w:tc>
      </w:tr>
    </w:tbl>
    <w:p>
      <w:pPr>
        <w:pStyle w:val="BodyText"/>
      </w:pPr>
      <w:r>
        <w:t xml:space="preserve">One general point, visible here and elsewhere.</w:t>
      </w:r>
      <w:r>
        <w:t xml:space="preserve"> </w:t>
      </w:r>
      <w:r>
        <w:rPr>
          <w:b/>
          <w:bCs/>
        </w:rPr>
        <w:t xml:space="preserve">A resource guide to a rule is not the rule.</w:t>
      </w:r>
      <w:r>
        <w:t xml:space="preserve"> </w:t>
      </w:r>
      <w:r>
        <w:t xml:space="preserve">Several</w:t>
      </w:r>
      <w:r>
        <w:t xml:space="preserve"> </w:t>
      </w:r>
      <w:r>
        <w:t xml:space="preserve">of the regimes above have a publisher's implementation guide sitting beside them, and the two get</w:t>
      </w:r>
      <w:r>
        <w:t xml:space="preserve"> </w:t>
      </w:r>
      <w:r>
        <w:t xml:space="preserve">cited identically. A guide states no requirement and issues nothing, so conformance to one is not a</w:t>
      </w:r>
      <w:r>
        <w:t xml:space="preserve"> </w:t>
      </w:r>
      <w:r>
        <w:t xml:space="preserve">thing that exists, and a questionnaire asking a supplier to attest to a guide is asking for something</w:t>
      </w:r>
      <w:r>
        <w:t xml:space="preserve"> </w:t>
      </w:r>
      <w:r>
        <w:t xml:space="preserve">no party can supply.</w:t>
      </w:r>
    </w:p>
    <w:bookmarkEnd w:id="24"/>
    <w:bookmarkStart w:id="26" w:name="control-catalogs-and-operational-inputs"/>
    <w:p>
      <w:pPr>
        <w:pStyle w:val="Heading3"/>
      </w:pPr>
      <w:r>
        <w:t xml:space="preserve">Control catalogs and operational inputs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issues</w:t>
            </w:r>
          </w:p>
        </w:tc>
        <w:tc>
          <w:tcPr/>
          <w:p>
            <w:pPr>
              <w:pStyle w:val="Compact"/>
            </w:pPr>
            <w:r>
              <w:t xml:space="preserve">What puts you in scope</w:t>
            </w:r>
          </w:p>
        </w:tc>
        <w:tc>
          <w:tcPr/>
          <w:p>
            <w:pPr>
              <w:pStyle w:val="Compact"/>
            </w:pPr>
            <w:r>
              <w:t xml:space="preserve">Status (checked 2026-08-06)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800-53 Rev. 5 (Release 5.2.0), with SP 800-53B and FIPS 199</w:t>
            </w:r>
          </w:p>
        </w:tc>
        <w:tc>
          <w:tcPr/>
          <w:p>
            <w:pPr>
              <w:pStyle w:val="Compact"/>
            </w:pPr>
            <w:r>
              <w:t xml:space="preserve">Nothing. A baseline is selected and an authorizing official decides. NIST certifies nobody</w:t>
            </w:r>
          </w:p>
        </w:tc>
        <w:tc>
          <w:tcPr/>
          <w:p>
            <w:pPr>
              <w:pStyle w:val="Compact"/>
            </w:pPr>
            <w:r>
              <w:t xml:space="preserve">A federal contract, a program requirement, or a customer questionnaire mapping its control set onto you</w:t>
            </w:r>
          </w:p>
        </w:tc>
        <w:tc>
          <w:tcPr/>
          <w:p>
            <w:pPr>
              <w:pStyle w:val="Compact"/>
            </w:pPr>
            <w:r>
              <w:t xml:space="preserve">Release 5.2.0 issued 2025-08-27 and added three controls; the baselines were not changed. FIPS 199 unchanged since February 2004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800-161 Rev. 1 (upd 1)</w:t>
            </w:r>
          </w:p>
        </w:tc>
        <w:tc>
          <w:tcPr/>
          <w:p>
            <w:pPr>
              <w:pStyle w:val="Compact"/>
            </w:pPr>
            <w:r>
              <w:t xml:space="preserve">Nothing. Guidance, structured as an overlay on the control catalog</w:t>
            </w:r>
          </w:p>
        </w:tc>
        <w:tc>
          <w:tcPr/>
          <w:p>
            <w:pPr>
              <w:pStyle w:val="Compact"/>
            </w:pPr>
            <w:r>
              <w:t xml:space="preserve">A federal contract flow-down, or a prime pushing supply chain terms down</w:t>
            </w:r>
          </w:p>
        </w:tc>
        <w:tc>
          <w:tcPr/>
          <w:p>
            <w:pPr>
              <w:pStyle w:val="Compact"/>
            </w:pPr>
            <w:r>
              <w:t xml:space="preserve">Revision 1 published May 2022; update 1 issued 2024-11-01. No Revision 2 exists in any form, draft or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US defense CUI chain: SP 800-171 as pinned by contract, the CMMC program, the DFARS clauses</w:t>
            </w:r>
          </w:p>
        </w:tc>
        <w:tc>
          <w:tcPr/>
          <w:p>
            <w:pPr>
              <w:pStyle w:val="Compact"/>
            </w:pPr>
            <w:r>
              <w:t xml:space="preserve">Depends on the rung: a self-scored assessment, an annual affirmation, a third-party certificate, or a government assessment result</w:t>
            </w:r>
          </w:p>
        </w:tc>
        <w:tc>
          <w:tcPr/>
          <w:p>
            <w:pPr>
              <w:pStyle w:val="Compact"/>
            </w:pPr>
            <w:r>
              <w:t xml:space="preserve">A contracting officer inserting a clause, or a prime flowing it down. Nothing here reaches you on its own</w:t>
            </w:r>
          </w:p>
        </w:tc>
        <w:tc>
          <w:tcPr/>
          <w:p>
            <w:pPr>
              <w:pStyle w:val="Compact"/>
            </w:pPr>
            <w:r>
              <w:t xml:space="preserve">Program rule effective 2024-12-16; acquisition rule effective 2025-11-10; phases beyond the first suspended by policy on 2026-07-13, per secondary 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CISA Known Exploited Vulnerabilities catalog, and BOD 26-04</w:t>
            </w:r>
          </w:p>
        </w:tc>
        <w:tc>
          <w:tcPr/>
          <w:p>
            <w:pPr>
              <w:pStyle w:val="Compact"/>
            </w:pPr>
            <w:r>
              <w:t xml:space="preserve">Nothing to a private organization. A directive binds only the agencies it names</w:t>
            </w:r>
          </w:p>
        </w:tc>
        <w:tc>
          <w:tcPr/>
          <w:p>
            <w:pPr>
              <w:pStyle w:val="Compact"/>
            </w:pPr>
            <w:r>
              <w:t xml:space="preserve">Being an agency a directive names, a contract flowing it down, or your own policy adopting the catalog</w:t>
            </w:r>
          </w:p>
        </w:tc>
        <w:tc>
          <w:tcPr/>
          <w:p>
            <w:pPr>
              <w:pStyle w:val="Compact"/>
            </w:pPr>
            <w:r>
              <w:t xml:space="preserve">BOD 26-04, issued 2026-06-10, supersedes and revokes the 2021 and 2019 directives. The catalog itself is unchanged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EPSS</w:t>
            </w:r>
          </w:p>
        </w:tc>
        <w:tc>
          <w:tcPr/>
          <w:p>
            <w:pPr>
              <w:pStyle w:val="Compact"/>
            </w:pPr>
            <w:r>
              <w:t xml:space="preserve">A daily probability and percentile per published CVE, for exploitation in the wild within thirty days</w:t>
            </w:r>
          </w:p>
        </w:tc>
        <w:tc>
          <w:tcPr/>
          <w:p>
            <w:pPr>
              <w:pStyle w:val="Compact"/>
            </w:pPr>
            <w:r>
              <w:t xml:space="preserve">A remediation policy that consumes it, or a risk model using exploitation likelihood as an input</w:t>
            </w:r>
          </w:p>
        </w:tc>
        <w:tc>
          <w:tcPr/>
          <w:p>
            <w:pPr>
              <w:pStyle w:val="Compact"/>
            </w:pPr>
            <w:r>
              <w:t xml:space="preserve">Version 4 deployed 2025-03-17; a version 5 was announced 2026-05-13. Which model generates the published scores was not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SAMM v2.0</w:t>
            </w:r>
          </w:p>
        </w:tc>
        <w:tc>
          <w:tcPr/>
          <w:p>
            <w:pPr>
              <w:pStyle w:val="Compact"/>
            </w:pPr>
            <w:r>
              <w:t xml:space="preserve">Nothing. A self-assessed score from 0 to 3 per practice, plus a community Benchmark for comparison</w:t>
            </w:r>
          </w:p>
        </w:tc>
        <w:tc>
          <w:tcPr/>
          <w:p>
            <w:pPr>
              <w:pStyle w:val="Compact"/>
            </w:pPr>
            <w:r>
              <w:t xml:space="preserve">Internal program work, board reporting, or a customer asking how mature your program is</w:t>
            </w:r>
          </w:p>
        </w:tc>
        <w:tc>
          <w:tcPr/>
          <w:p>
            <w:pPr>
              <w:pStyle w:val="Compact"/>
            </w:pPr>
            <w:r>
              <w:t xml:space="preserve">Released February 2020 and still current on 2026-08-06. The Benchmark was first published June 2024</w:t>
            </w:r>
          </w:p>
        </w:tc>
      </w:tr>
    </w:tbl>
    <w:p>
      <w:pPr>
        <w:pStyle w:val="BodyText"/>
      </w:pPr>
      <w:r>
        <w:t xml:space="preserve">Two cautions.</w:t>
      </w:r>
      <w:r>
        <w:t xml:space="preserve"> </w:t>
      </w:r>
      <w:r>
        <w:rPr>
          <w:b/>
          <w:bCs/>
        </w:rPr>
        <w:t xml:space="preserve">A defense-style obligation begins with a clause number, not a publication</w:t>
      </w:r>
      <w:r>
        <w:t xml:space="preserve"> </w:t>
      </w:r>
      <w:r>
        <w:t xml:space="preserve">-- ask</w:t>
      </w:r>
      <w:r>
        <w:t xml:space="preserve"> </w:t>
      </w:r>
      <w:r>
        <w:t xml:space="preserve">which solicitation, which contract and which clause number, and check whether a deviation modifies</w:t>
      </w:r>
      <w:r>
        <w:t xml:space="preserve"> </w:t>
      </w:r>
      <w:r>
        <w:t xml:space="preserve">the clause, because the clause text alone can name the wrong revision. And the release-versus-revision</w:t>
      </w:r>
      <w:r>
        <w:t xml:space="preserve"> </w:t>
      </w:r>
      <w:r>
        <w:t xml:space="preserve">trap in the control catalog, with the producer-versus-operator split that decides who owns a control</w:t>
      </w:r>
      <w:r>
        <w:t xml:space="preserve"> </w:t>
      </w:r>
      <w:r>
        <w:t xml:space="preserve">at all, sits in</w:t>
      </w:r>
      <w:r>
        <w:t xml:space="preserve"> </w:t>
      </w:r>
      <w:hyperlink r:id="rId25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rather than here.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addressed-to-an-assessor"/>
    <w:p>
      <w:pPr>
        <w:pStyle w:val="Heading2"/>
      </w:pPr>
      <w:r>
        <w:t xml:space="preserve">Addressed to an assessor</w:t>
      </w:r>
    </w:p>
    <w:p>
      <w:pPr>
        <w:pStyle w:val="FirstParagraph"/>
      </w:pPr>
      <w:r>
        <w:t xml:space="preserve">Three rows and one lesson: these change what an audit looks like and impose nothing on the audited</w:t>
      </w:r>
      <w:r>
        <w:t xml:space="preserve"> </w:t>
      </w:r>
      <w:r>
        <w:t xml:space="preserve">organization. An unexplained change in audit shape or duration usually starts here rather than in</w:t>
      </w:r>
      <w:r>
        <w:t xml:space="preserve"> </w:t>
      </w:r>
      <w:r>
        <w:t xml:space="preserve">your auditor's temperament.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Whose conduct it governs</w:t>
            </w:r>
          </w:p>
        </w:tc>
        <w:tc>
          <w:tcPr/>
          <w:p>
            <w:pPr>
              <w:pStyle w:val="Compact"/>
            </w:pPr>
            <w:r>
              <w:t xml:space="preserve">How it reaches you</w:t>
            </w:r>
          </w:p>
        </w:tc>
        <w:tc>
          <w:tcPr/>
          <w:p>
            <w:pPr>
              <w:pStyle w:val="Compact"/>
            </w:pPr>
            <w:r>
              <w:t xml:space="preserve">Status (checked 2026-08-06)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27006-1:2024</w:t>
            </w:r>
          </w:p>
        </w:tc>
        <w:tc>
          <w:tcPr/>
          <w:p>
            <w:pPr>
              <w:pStyle w:val="Compact"/>
            </w:pPr>
            <w:r>
              <w:t xml:space="preserve">The certification bodies that audit management systems, and the terms of their accreditation</w:t>
            </w:r>
          </w:p>
        </w:tc>
        <w:tc>
          <w:tcPr/>
          <w:p>
            <w:pPr>
              <w:pStyle w:val="Compact"/>
            </w:pPr>
            <w:r>
              <w:t xml:space="preserve">Through changed audit conduct: refined remote-audit rules and a revised audit-time calculation</w:t>
            </w:r>
          </w:p>
        </w:tc>
        <w:tc>
          <w:tcPr/>
          <w:p>
            <w:pPr>
              <w:pStyle w:val="Compact"/>
            </w:pPr>
            <w:r>
              <w:t xml:space="preserve">Published 2024, replacing the 2015 edition. One accreditation body required use for all clients by 2026-03-31; other bodies may differ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800-53A Rev. 5 (Release 5.2.0)</w:t>
            </w:r>
          </w:p>
        </w:tc>
        <w:tc>
          <w:tcPr/>
          <w:p>
            <w:pPr>
              <w:pStyle w:val="Compact"/>
            </w:pPr>
            <w:r>
              <w:t xml:space="preserve">Whoever assesses a system against a selected control baseline</w:t>
            </w:r>
          </w:p>
        </w:tc>
        <w:tc>
          <w:tcPr/>
          <w:p>
            <w:pPr>
              <w:pStyle w:val="Compact"/>
            </w:pPr>
            <w:r>
              <w:t xml:space="preserve">As the source of the questions an assessor asks about a deployed instance</w:t>
            </w:r>
          </w:p>
        </w:tc>
        <w:tc>
          <w:tcPr/>
          <w:p>
            <w:pPr>
              <w:pStyle w:val="Compact"/>
            </w:pPr>
            <w:r>
              <w:t xml:space="preserve">Release 5.2.0 issued 2025-08-27, adding assessment procedures for three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800-171A Rev. 3 and SP 800-172A Rev. 3</w:t>
            </w:r>
          </w:p>
        </w:tc>
        <w:tc>
          <w:tcPr/>
          <w:p>
            <w:pPr>
              <w:pStyle w:val="Compact"/>
            </w:pPr>
            <w:r>
              <w:t xml:space="preserve">Whoever runs a CUI assessment, whether third party or government</w:t>
            </w:r>
          </w:p>
        </w:tc>
        <w:tc>
          <w:tcPr/>
          <w:p>
            <w:pPr>
              <w:pStyle w:val="Compact"/>
            </w:pPr>
            <w:r>
              <w:t xml:space="preserve">Through an assessment somebody else scopes and runs</w:t>
            </w:r>
          </w:p>
        </w:tc>
        <w:tc>
          <w:tcPr/>
          <w:p>
            <w:pPr>
              <w:pStyle w:val="Compact"/>
            </w:pPr>
            <w:r>
              <w:t xml:space="preserve">800-171A Rev. 3 final 2024-05-14; 800-172A Rev. 3 final 2026-05-13. The defense program rule still names the June 2018 and March 2022 versions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0" w:name="Xec900c179c77a160799081f930559b144a7abc9"/>
    <w:p>
      <w:pPr>
        <w:pStyle w:val="Heading2"/>
      </w:pPr>
      <w:r>
        <w:t xml:space="preserve">Addressed to nobody: infrastructure and vocabulary</w:t>
      </w:r>
    </w:p>
    <w:p>
      <w:pPr>
        <w:pStyle w:val="FirstParagraph"/>
      </w:pPr>
      <w:r>
        <w:t xml:space="preserve">You cannot conform to any of these, and knowing that ends several arguments. They are the vocabulary</w:t>
      </w:r>
      <w:r>
        <w:t xml:space="preserve"> </w:t>
      </w:r>
      <w:r>
        <w:t xml:space="preserve">the rest of the page is written 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actually gives you</w:t>
            </w:r>
          </w:p>
        </w:tc>
        <w:tc>
          <w:tcPr/>
          <w:p>
            <w:pPr>
              <w:pStyle w:val="Compact"/>
            </w:pPr>
            <w:r>
              <w:t xml:space="preserve">Where you meet it</w:t>
            </w:r>
          </w:p>
        </w:tc>
        <w:tc>
          <w:tcPr/>
          <w:p>
            <w:pPr>
              <w:pStyle w:val="Compact"/>
            </w:pPr>
            <w:r>
              <w:t xml:space="preserve">Status (checked 2026-08-06)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CWE 4.20</w:t>
            </w:r>
          </w:p>
        </w:tc>
        <w:tc>
          <w:tcPr/>
          <w:p>
            <w:pPr>
              <w:pStyle w:val="Compact"/>
            </w:pPr>
            <w:r>
              <w:t xml:space="preserve">An identifier for a class of mistake. Not a severity and not a priority</w:t>
            </w:r>
          </w:p>
        </w:tc>
        <w:tc>
          <w:tcPr/>
          <w:p>
            <w:pPr>
              <w:pStyle w:val="Compact"/>
            </w:pPr>
            <w:r>
              <w:t xml:space="preserve">Tool output, vulnerability records that map to it, and contracts asking for findings with mappings</w:t>
            </w:r>
          </w:p>
        </w:tc>
        <w:tc>
          <w:tcPr/>
          <w:p>
            <w:pPr>
              <w:pStyle w:val="Compact"/>
            </w:pPr>
            <w:r>
              <w:t xml:space="preserve">Version 4.20 released 2026-04-30, on a continuing versioned release cadence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CVE Program</w:t>
            </w:r>
          </w:p>
        </w:tc>
        <w:tc>
          <w:tcPr/>
          <w:p>
            <w:pPr>
              <w:pStyle w:val="Compact"/>
            </w:pPr>
            <w:r>
              <w:t xml:space="preserve">Identifiers and records. Not severity, not exploitability, not priority</w:t>
            </w:r>
          </w:p>
        </w:tc>
        <w:tc>
          <w:tcPr/>
          <w:p>
            <w:pPr>
              <w:pStyle w:val="Compact"/>
            </w:pPr>
            <w:r>
              <w:t xml:space="preserve">Every dependency policy and every scanner</w:t>
            </w:r>
          </w:p>
        </w:tc>
        <w:tc>
          <w:tcPr/>
          <w:p>
            <w:pPr>
              <w:pStyle w:val="Compact"/>
            </w:pPr>
            <w:r>
              <w:t xml:space="preserve">Operating. The 2025 contract lapse was averted by an extension, and the program board was told on 2026-01-21 there is no funding cliff in March. Replacement terms are not public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SBOM formats: SPDX (ISO/IEC 5962:2021) and CycloneDX (ECMA-424, 2nd edition)</w:t>
            </w:r>
          </w:p>
        </w:tc>
        <w:tc>
          <w:tcPr/>
          <w:p>
            <w:pPr>
              <w:pStyle w:val="Compact"/>
            </w:pPr>
            <w:r>
              <w:t xml:space="preserve">A machine-readable document a parser accepts. No conformance mark exists for either</w:t>
            </w:r>
          </w:p>
        </w:tc>
        <w:tc>
          <w:tcPr/>
          <w:p>
            <w:pPr>
              <w:pStyle w:val="Compact"/>
            </w:pPr>
            <w:r>
              <w:t xml:space="preserve">A customer or a regime asking for an SBOM in a commonly used machine-readable format</w:t>
            </w:r>
          </w:p>
        </w:tc>
        <w:tc>
          <w:tcPr/>
          <w:p>
            <w:pPr>
              <w:pStyle w:val="Compact"/>
            </w:pPr>
            <w:r>
              <w:t xml:space="preserve">ISO/IEC 5962:2021 describes SPDX 2.2.1, which current tooling has moved past; SPDX 3.0 sat at draft stage on 2026-08-06. ECMA-424 2nd edition was adopted December 2025 and defines CycloneDX v1.7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25010:2023</w:t>
            </w:r>
          </w:p>
        </w:tc>
        <w:tc>
          <w:tcPr/>
          <w:p>
            <w:pPr>
              <w:pStyle w:val="Compact"/>
            </w:pPr>
            <w:r>
              <w:t xml:space="preserve">A vocabulary of quality characteristics. It states no requirement a product could meet or fail</w:t>
            </w:r>
          </w:p>
        </w:tc>
        <w:tc>
          <w:tcPr/>
          <w:p>
            <w:pPr>
              <w:pStyle w:val="Compact"/>
            </w:pPr>
            <w:r>
              <w:t xml:space="preserve">Requirements documents and procurement specifications that need both parties to mean the same thing</w:t>
            </w:r>
          </w:p>
        </w:tc>
        <w:tc>
          <w:tcPr/>
          <w:p>
            <w:pPr>
              <w:pStyle w:val="Compact"/>
            </w:pPr>
            <w:r>
              <w:t xml:space="preserve">Second edition published November 2023, cancelling and replacing the 2011 edition. Usability and portability no longer exist as top-level names</w:t>
            </w:r>
          </w:p>
        </w:tc>
      </w:tr>
    </w:tbl>
    <w:p>
      <w:pPr>
        <w:pStyle w:val="BodyText"/>
      </w:pPr>
      <w:r>
        <w:t xml:space="preserve">Three errors follow from treating these as requirements.</w:t>
      </w:r>
      <w:r>
        <w:t xml:space="preserve"> </w:t>
      </w:r>
      <w:r>
        <w:rPr>
          <w:b/>
          <w:bCs/>
        </w:rPr>
        <w:t xml:space="preserve">A weakness identifier is not a severity</w:t>
      </w:r>
      <w:r>
        <w:t xml:space="preserve">:</w:t>
      </w:r>
      <w:r>
        <w:t xml:space="preserve"> </w:t>
      </w:r>
      <w:r>
        <w:t xml:space="preserve">it says what kind of mistake a finding is, not whether it matters where you run.</w:t>
      </w:r>
      <w:r>
        <w:t xml:space="preserve"> </w:t>
      </w:r>
      <w:r>
        <w:rPr>
          <w:b/>
          <w:bCs/>
        </w:rPr>
        <w:t xml:space="preserve">No published</w:t>
      </w:r>
      <w:r>
        <w:rPr>
          <w:b/>
          <w:bCs/>
        </w:rPr>
        <w:t xml:space="preserve"> </w:t>
      </w:r>
      <w:r>
        <w:rPr>
          <w:b/>
          <w:bCs/>
        </w:rPr>
        <w:t xml:space="preserve">vulnerability identifiers is not a security property</w:t>
      </w:r>
      <w:r>
        <w:t xml:space="preserve">: it can equally mean nobody is looking, or</w:t>
      </w:r>
      <w:r>
        <w:t xml:space="preserve"> </w:t>
      </w:r>
      <w:r>
        <w:t xml:space="preserve">that there is no route to publish one.</w:t>
      </w:r>
      <w:r>
        <w:t xml:space="preserve"> </w:t>
      </w:r>
      <w:r>
        <w:rPr>
          <w:b/>
          <w:bCs/>
        </w:rPr>
        <w:t xml:space="preserve">A format's standards-body lineage is not a compliance</w:t>
      </w:r>
      <w:r>
        <w:rPr>
          <w:b/>
          <w:bCs/>
        </w:rPr>
        <w:t xml:space="preserve"> </w:t>
      </w:r>
      <w:r>
        <w:rPr>
          <w:b/>
          <w:bCs/>
        </w:rPr>
        <w:t xml:space="preserve">grade</w:t>
      </w:r>
      <w:r>
        <w:t xml:space="preserve">: the widely quoted ISO number attaches to a 2021-era version of one format, so choosing on</w:t>
      </w:r>
      <w:r>
        <w:t xml:space="preserve"> </w:t>
      </w:r>
      <w:r>
        <w:t xml:space="preserve">lineage answers a question nobody in the transaction asked.</w:t>
      </w:r>
      <w:r>
        <w:t xml:space="preserve"> </w:t>
      </w:r>
      <w:hyperlink r:id="rId29">
        <w:r>
          <w:rPr>
            <w:rStyle w:val="Hyperlink"/>
          </w:rPr>
          <w:t xml:space="preserve">Code quality</w:t>
        </w:r>
      </w:hyperlink>
      <w:r>
        <w:t xml:space="preserve"> </w:t>
      </w:r>
      <w:r>
        <w:t xml:space="preserve">already</w:t>
      </w:r>
      <w:r>
        <w:t xml:space="preserve"> </w:t>
      </w:r>
      <w:r>
        <w:t xml:space="preserve">cites the current edition of the product quality model for its own purposes.</w:t>
      </w:r>
    </w:p>
    <w:p>
      <w:r>
        <w:pict>
          <v:rect style="width:0;height:1.5pt" o:hralign="center" o:hrstd="t" o:hr="t"/>
        </w:pict>
      </w:r>
    </w:p>
    <w:bookmarkEnd w:id="30"/>
    <w:bookmarkStart w:id="31" w:name="how-these-actually-reach-you"/>
    <w:p>
      <w:pPr>
        <w:pStyle w:val="Heading2"/>
      </w:pPr>
      <w:r>
        <w:t xml:space="preserve">How these actually reach you</w:t>
      </w:r>
    </w:p>
    <w:p>
      <w:pPr>
        <w:pStyle w:val="FirstParagraph"/>
      </w:pPr>
      <w:r>
        <w:t xml:space="preserve">At least five routes. This is the section that decides where budget and ownership land, because the</w:t>
      </w:r>
      <w:r>
        <w:t xml:space="preserve"> </w:t>
      </w:r>
      <w:r>
        <w:t xml:space="preserve">route determines the owner far more reliably than the subject does.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 in</w:t>
            </w:r>
          </w:p>
        </w:tc>
        <w:tc>
          <w:tcPr/>
          <w:p>
            <w:pPr>
              <w:pStyle w:val="Compact"/>
            </w:pPr>
            <w:r>
              <w:t xml:space="preserve">What it looks like on the day</w:t>
            </w:r>
          </w:p>
        </w:tc>
        <w:tc>
          <w:tcPr/>
          <w:p>
            <w:pPr>
              <w:pStyle w:val="Compact"/>
            </w:pPr>
            <w:r>
              <w:t xml:space="preserve">What actually governs</w:t>
            </w:r>
          </w:p>
        </w:tc>
        <w:tc>
          <w:tcPr/>
          <w:p>
            <w:pPr>
              <w:pStyle w:val="Compact"/>
            </w:pPr>
            <w:r>
              <w:t xml:space="preserve">Who owns the response internally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 binding on a producer</w:t>
            </w:r>
          </w:p>
        </w:tc>
        <w:tc>
          <w:tcPr/>
          <w:p>
            <w:pPr>
              <w:pStyle w:val="Compact"/>
            </w:pPr>
            <w:r>
              <w:t xml:space="preserve">A market-access rule you satisfy before you ship, with no customer asking</w:t>
            </w:r>
          </w:p>
        </w:tc>
        <w:tc>
          <w:tcPr/>
          <w:p>
            <w:pPr>
              <w:pStyle w:val="Compact"/>
            </w:pPr>
            <w:r>
              <w:t xml:space="preserve">The regulation and the conformity route it sets</w:t>
            </w:r>
          </w:p>
        </w:tc>
        <w:tc>
          <w:tcPr/>
          <w:p>
            <w:pPr>
              <w:pStyle w:val="Compact"/>
            </w:pPr>
            <w:r>
              <w:t xml:space="preserve">Engineering and release, not the compliance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clause in one specific contract, or a flow-down from a prime</w:t>
            </w:r>
          </w:p>
        </w:tc>
        <w:tc>
          <w:tcPr/>
          <w:p>
            <w:pPr>
              <w:pStyle w:val="Compact"/>
            </w:pPr>
            <w:r>
              <w:t xml:space="preserve">A clause number in a solicitation or an award</w:t>
            </w:r>
          </w:p>
        </w:tc>
        <w:tc>
          <w:tcPr/>
          <w:p>
            <w:pPr>
              <w:pStyle w:val="Compact"/>
            </w:pPr>
            <w:r>
              <w:t xml:space="preserve">The clause text, plus any deviation that modifies it. Not the publication it cites</w:t>
            </w:r>
          </w:p>
        </w:tc>
        <w:tc>
          <w:tcPr/>
          <w:p>
            <w:pPr>
              <w:pStyle w:val="Compact"/>
            </w:pPr>
            <w:r>
              <w:t xml:space="preserve">Contracts, with security supplying the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supplier-risk clause inside somebody else's regime (the questionnaire)</w:t>
            </w:r>
          </w:p>
        </w:tc>
        <w:tc>
          <w:tcPr/>
          <w:p>
            <w:pPr>
              <w:pStyle w:val="Compact"/>
            </w:pPr>
            <w:r>
              <w:t xml:space="preserve">A spreadsheet quoting identifiers drawn from several unrelated documents</w:t>
            </w:r>
          </w:p>
        </w:tc>
        <w:tc>
          <w:tcPr/>
          <w:p>
            <w:pPr>
              <w:pStyle w:val="Compact"/>
            </w:pPr>
            <w:r>
              <w:t xml:space="preserve">Their obligation, not yours. It never binds you; it obliges them to ask</w:t>
            </w:r>
          </w:p>
        </w:tc>
        <w:tc>
          <w:tcPr/>
          <w:p>
            <w:pPr>
              <w:pStyle w:val="Compact"/>
            </w:pPr>
            <w:r>
              <w:t xml:space="preserve">Security with sales, and it is the largest recurring cost in this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procurement or payment-chain agreement</w:t>
            </w:r>
          </w:p>
        </w:tc>
        <w:tc>
          <w:tcPr/>
          <w:p>
            <w:pPr>
              <w:pStyle w:val="Compact"/>
            </w:pPr>
            <w:r>
              <w:t xml:space="preserve">A program status or a validation requirement as a condition of the deal</w:t>
            </w:r>
          </w:p>
        </w:tc>
        <w:tc>
          <w:tcPr/>
          <w:p>
            <w:pPr>
              <w:pStyle w:val="Compact"/>
            </w:pPr>
            <w:r>
              <w:t xml:space="preserve">The program's or the counterparty's own rules, which may not be the standard author's</w:t>
            </w:r>
          </w:p>
        </w:tc>
        <w:tc>
          <w:tcPr/>
          <w:p>
            <w:pPr>
              <w:pStyle w:val="Compact"/>
            </w:pPr>
            <w:r>
              <w:t xml:space="preserve">The program owner, usually outside security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own risk decision</w:t>
            </w:r>
          </w:p>
        </w:tc>
        <w:tc>
          <w:tcPr/>
          <w:p>
            <w:pPr>
              <w:pStyle w:val="Compact"/>
            </w:pPr>
            <w:r>
              <w:t xml:space="preserve">Nobody asked. You adopted it</w:t>
            </w:r>
          </w:p>
        </w:tc>
        <w:tc>
          <w:tcPr/>
          <w:p>
            <w:pPr>
              <w:pStyle w:val="Compact"/>
            </w:pPr>
            <w:r>
              <w:t xml:space="preserve">Your own written scope, and nothing else</w:t>
            </w:r>
          </w:p>
        </w:tc>
        <w:tc>
          <w:tcPr/>
          <w:p>
            <w:pPr>
              <w:pStyle w:val="Compact"/>
            </w:pPr>
            <w:r>
              <w:t xml:space="preserve">Whoever proposed it, and that should be written down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3" w:name="why-every-status-here-carries-a-date"/>
    <w:p>
      <w:pPr>
        <w:pStyle w:val="Heading2"/>
      </w:pPr>
      <w:r>
        <w:t xml:space="preserve">Why every status here carries a date</w:t>
      </w:r>
    </w:p>
    <w:p>
      <w:pPr>
        <w:pStyle w:val="FirstParagraph"/>
      </w:pPr>
      <w:r>
        <w:t xml:space="preserve">Staleness takes four shapes. Naming them is worth more than any individual fact below, because you</w:t>
      </w:r>
      <w:r>
        <w:t xml:space="preserve"> </w:t>
      </w:r>
      <w:r>
        <w:t xml:space="preserve">will meet a fifth.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mandate rescinded while its artifacts survive.</w:t>
      </w:r>
      <w:r>
        <w:t xml:space="preserve"> </w:t>
      </w:r>
      <w:r>
        <w:t xml:space="preserve">The instruction goes; the form, the signature</w:t>
      </w:r>
      <w:r>
        <w:t xml:space="preserve"> </w:t>
      </w:r>
      <w:r>
        <w:t xml:space="preserve">and any standing duty attached to it do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draft cited as though final.</w:t>
      </w:r>
      <w:r>
        <w:t xml:space="preserve"> </w:t>
      </w:r>
      <w:r>
        <w:t xml:space="preserve">The most common shape and the hardest to see, because a draft</w:t>
      </w:r>
      <w:r>
        <w:t xml:space="preserve"> </w:t>
      </w:r>
      <w:r>
        <w:t xml:space="preserve">and a final look identical once quoted in a policy.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published version that is not the version being audited.</w:t>
      </w:r>
      <w:r>
        <w:t xml:space="preserve"> </w:t>
      </w:r>
      <w:r>
        <w:t xml:space="preserve">The newest file on a publisher's</w:t>
      </w:r>
      <w:r>
        <w:t xml:space="preserve"> </w:t>
      </w:r>
      <w:r>
        <w:t xml:space="preserve">site is not automatically the assessment baseline.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rename.</w:t>
      </w:r>
      <w:r>
        <w:t xml:space="preserve"> </w:t>
      </w:r>
      <w:r>
        <w:t xml:space="preserve">Search stops working, and both names are often legitimately live at once.</w:t>
      </w:r>
    </w:p>
    <w:p>
      <w:pPr>
        <w:pStyle w:val="FirstParagraph"/>
      </w:pPr>
      <w:r>
        <w:t xml:space="preserve">The worked example is the federal software attestation story, told as one event when it was two,</w:t>
      </w:r>
      <w:r>
        <w:t xml:space="preserve"> </w:t>
      </w:r>
      <w:r>
        <w:t xml:space="preserve">seven months apart. EO 14028 (2021) directed the guidance. OMB M-22-18 and M-23-16 turned it into a</w:t>
      </w:r>
      <w:r>
        <w:t xml:space="preserve"> </w:t>
      </w:r>
      <w:r>
        <w:t xml:space="preserve">collection requirement. EO 14144 (January 2025) would have added submission to a repository, central</w:t>
      </w:r>
      <w:r>
        <w:t xml:space="preserve"> </w:t>
      </w:r>
      <w:r>
        <w:t xml:space="preserve">verification and referral of failures -- and EO 14306, on 2025-06-06, struck that apparatus. Then OMB</w:t>
      </w:r>
      <w:r>
        <w:t xml:space="preserve"> </w:t>
      </w:r>
      <w:r>
        <w:t xml:space="preserve">M-26-05, on 2026-01-23, rescinded the collection mandate itself. Anyone describing a single January</w:t>
      </w:r>
      <w:r>
        <w:t xml:space="preserve"> </w:t>
      </w:r>
      <w:r>
        <w:t xml:space="preserve">2026 event has lost the fact that the verification model was already gone in mid-2025. The status of</w:t>
      </w:r>
      <w:r>
        <w:t xml:space="preserve"> </w:t>
      </w:r>
      <w:r>
        <w:t xml:space="preserve">the federal repository that received submissions is unknown as of 2026-08-06: not reported running,</w:t>
      </w:r>
      <w:r>
        <w:t xml:space="preserve"> </w:t>
      </w:r>
      <w:r>
        <w:t xml:space="preserve">not reported gone. And a signed self-attestation is a different instrument from a certificate --</w:t>
      </w:r>
      <w:r>
        <w:t xml:space="preserve"> </w:t>
      </w:r>
      <w:r>
        <w:t xml:space="preserve">rescinding the instruction that prompted a signature is prospective, and unsigns nothing.</w:t>
      </w:r>
    </w:p>
    <w:p>
      <w:pPr>
        <w:pStyle w:val="BodyText"/>
      </w:pPr>
      <w:r>
        <w:t xml:space="preserve">The second worked example is shape two: the draft successor to the secure software development</w:t>
      </w:r>
      <w:r>
        <w:t xml:space="preserve"> </w:t>
      </w:r>
      <w:r>
        <w:t xml:space="preserve">framework has been cited as the current framework since December 2025, while remaining a draft past</w:t>
      </w:r>
      <w:r>
        <w:t xml:space="preserve"> </w:t>
      </w:r>
      <w:r>
        <w:t xml:space="preserve">its own executive-order clock.</w:t>
      </w:r>
    </w:p>
    <w:p>
      <w:pPr>
        <w:pStyle w:val="BodyText"/>
      </w:pPr>
      <w:r>
        <w:rPr>
          <w:b/>
          <w:bCs/>
        </w:rPr>
        <w:t xml:space="preserve">The instrument check.</w:t>
      </w:r>
      <w:r>
        <w:t xml:space="preserve"> </w:t>
      </w:r>
      <w:r>
        <w:t xml:space="preserve">What binds you is a clause, and a clause pins a dated version. So "use the</w:t>
      </w:r>
      <w:r>
        <w:t xml:space="preserve"> </w:t>
      </w:r>
      <w:r>
        <w:t xml:space="preserve">current publication" is frequently the wrong instruction: a regulation citing a publication by date</w:t>
      </w:r>
      <w:r>
        <w:t xml:space="preserve"> </w:t>
      </w:r>
      <w:r>
        <w:t xml:space="preserve">keeps citing it after the publisher supersedes it, which is how a rule stays stable rather than an</w:t>
      </w:r>
      <w:r>
        <w:t xml:space="preserve"> </w:t>
      </w:r>
      <w:r>
        <w:t xml:space="preserve">error in it. It is also why no identifier here appears without its version, revision, edition or</w:t>
      </w:r>
      <w:r>
        <w:t xml:space="preserve"> </w:t>
      </w:r>
      <w:r>
        <w:t xml:space="preserve">release -- a bare identifier resolves differently depending on when and where you look it up.</w:t>
      </w:r>
      <w:r>
        <w:t xml:space="preserve"> </w:t>
      </w:r>
      <w:hyperlink r:id="rId32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assessment method page</w:t>
        </w:r>
      </w:hyperlink>
      <w:r>
        <w:t xml:space="preserve"> </w:t>
      </w:r>
      <w:r>
        <w:t xml:space="preserve">covers pinning a standard's corpus so it cannot shift</w:t>
      </w:r>
      <w:r>
        <w:t xml:space="preserve"> </w:t>
      </w:r>
      <w:r>
        <w:t xml:space="preserve">underneath an assessment already in progress.</w:t>
      </w:r>
    </w:p>
    <w:p>
      <w:r>
        <w:pict>
          <v:rect style="width:0;height:1.5pt" o:hralign="center" o:hrstd="t" o:hr="t"/>
        </w:pict>
      </w:r>
    </w:p>
    <w:bookmarkEnd w:id="33"/>
    <w:bookmarkStart w:id="34" w:name="Xd07a5dba652e7af822e7b032ac09a3e93cc331c"/>
    <w:p>
      <w:pPr>
        <w:pStyle w:val="Heading2"/>
      </w:pPr>
      <w:r>
        <w:t xml:space="preserve">Stale advice, and how to catch it yourself</w:t>
      </w:r>
    </w:p>
    <w:p>
      <w:pPr>
        <w:pStyle w:val="FirstParagraph"/>
      </w:pPr>
      <w:r>
        <w:t xml:space="preserve">Each row below is one of the four shapes above. Column three names a check you can run without</w:t>
      </w:r>
      <w:r>
        <w:t xml:space="preserve"> </w:t>
      </w:r>
      <w:r>
        <w:t xml:space="preserve">trusting this page.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a policy, questionnaire or roadmap still says this</w:t>
            </w:r>
          </w:p>
        </w:tc>
        <w:tc>
          <w:tcPr/>
          <w:p>
            <w:pPr>
              <w:pStyle w:val="Compact"/>
            </w:pPr>
            <w:r>
              <w:t xml:space="preserve">As of 2026-08-06</w:t>
            </w:r>
          </w:p>
        </w:tc>
        <w:tc>
          <w:tcPr/>
          <w:p>
            <w:pPr>
              <w:pStyle w:val="Compact"/>
            </w:pPr>
            <w:r>
              <w:t xml:space="preserve">The check you can run yourself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"Sign the federal attestation form to sell software to the US government"</w:t>
            </w:r>
          </w:p>
        </w:tc>
        <w:tc>
          <w:tcPr/>
          <w:p>
            <w:pPr>
              <w:pStyle w:val="Compact"/>
            </w:pPr>
            <w:r>
              <w:t xml:space="preserve">The memoranda requiring agencies to collect it were rescinded on 2026-01-23. Agencies may still ask; none must</w:t>
            </w:r>
          </w:p>
        </w:tc>
        <w:tc>
          <w:tcPr/>
          <w:p>
            <w:pPr>
              <w:pStyle w:val="Compact"/>
            </w:pPr>
            <w:r>
              <w:t xml:space="preserve">Read the rescinding memorandum at the publisher, then read your own contract's clauses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"Map controls to the current SSDF, or to SSDF 1.2"</w:t>
            </w:r>
          </w:p>
        </w:tc>
        <w:tc>
          <w:tcPr/>
          <w:p>
            <w:pPr>
              <w:pStyle w:val="Compact"/>
            </w:pPr>
            <w:r>
              <w:t xml:space="preserve">v1.1 of 2022 is the only final version. The successor has been a draft since 2025-12-17</w:t>
            </w:r>
          </w:p>
        </w:tc>
        <w:tc>
          <w:tcPr/>
          <w:p>
            <w:pPr>
              <w:pStyle w:val="Compact"/>
            </w:pPr>
            <w:r>
              <w:t xml:space="preserve">The publisher's own publications listing shows Final against one and Draft against the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"SP 800-218A is the NIST guidance for developers using AI coding assistants"</w:t>
            </w:r>
          </w:p>
        </w:tc>
        <w:tc>
          <w:tcPr/>
          <w:p>
            <w:pPr>
              <w:pStyle w:val="Compact"/>
            </w:pPr>
            <w:r>
              <w:t xml:space="preserve">Its declared scope is producing AI models. Its single sentence on assisted code says the practices do not distinguish it from human-written code</w:t>
            </w:r>
          </w:p>
        </w:tc>
        <w:tc>
          <w:tcPr/>
          <w:p>
            <w:pPr>
              <w:pStyle w:val="Compact"/>
            </w:pPr>
            <w:r>
              <w:t xml:space="preserve">Search the publication for that sentence. It is the whole of the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"Defense work has to move to SP 800-171 Revision 3"</w:t>
            </w:r>
          </w:p>
        </w:tc>
        <w:tc>
          <w:tcPr/>
          <w:p>
            <w:pPr>
              <w:pStyle w:val="Compact"/>
            </w:pPr>
            <w:r>
              <w:t xml:space="preserve">A class deviation issued 2024-05-02 pins the safeguarding clause to Revision 2 and stands until rescinded, per secondary reporting</w:t>
            </w:r>
          </w:p>
        </w:tc>
        <w:tc>
          <w:tcPr/>
          <w:p>
            <w:pPr>
              <w:pStyle w:val="Compact"/>
            </w:pPr>
            <w:r>
              <w:t xml:space="preserve">Read the clause, then ask whether a deviation modifies it. The clause text alone gives the wrong revision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"Third-party CMMC certification becomes a condition of award in November 2026"</w:t>
            </w:r>
          </w:p>
        </w:tc>
        <w:tc>
          <w:tcPr/>
          <w:p>
            <w:pPr>
              <w:pStyle w:val="Compact"/>
            </w:pPr>
            <w:r>
              <w:t xml:space="preserve">Phase 2 and later milestones were suspended by policy on 2026-07-13, per secondary reporting. Neither rule was amended or repealed</w:t>
            </w:r>
          </w:p>
        </w:tc>
        <w:tc>
          <w:tcPr/>
          <w:p>
            <w:pPr>
              <w:pStyle w:val="Compact"/>
            </w:pPr>
            <w:r>
              <w:t xml:space="preserve">Ask the contracting officer which level the solicitation requires, and check the rulemaking index for anything after the acquisition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"Catalog inclusion means a fixed federal patch deadline"</w:t>
            </w:r>
          </w:p>
        </w:tc>
        <w:tc>
          <w:tcPr/>
          <w:p>
            <w:pPr>
              <w:pStyle w:val="Compact"/>
            </w:pPr>
            <w:r>
              <w:t xml:space="preserve">The directive setting flat due dates was revoked on 2026-06-10 and replaced by a risk model. The catalog is unchanged</w:t>
            </w:r>
          </w:p>
        </w:tc>
        <w:tc>
          <w:tcPr/>
          <w:p>
            <w:pPr>
              <w:pStyle w:val="Compact"/>
            </w:pPr>
            <w:r>
              <w:t xml:space="preserve">The revoked directive's own page is titled as revoked; read the current one for the model that replaced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"A 2013-edition ISO/IEC 27001 certificate is on file for this supplier"</w:t>
            </w:r>
          </w:p>
        </w:tc>
        <w:tc>
          <w:tcPr/>
          <w:p>
            <w:pPr>
              <w:pStyle w:val="Compact"/>
            </w:pPr>
            <w:r>
              <w:t xml:space="preserve">The transition period ended 2025-10-31, per secondary reporting, so a 2013-based certificate is no longer current</w:t>
            </w:r>
          </w:p>
        </w:tc>
        <w:tc>
          <w:tcPr/>
          <w:p>
            <w:pPr>
              <w:pStyle w:val="Compact"/>
            </w:pPr>
            <w:r>
              <w:t xml:space="preserve">Read the certificate's edition, scope and expiry, and check the issuing body's accreditation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"We are working toward PCI DSS 4.0, and the future-dated requirements are still future"</w:t>
            </w:r>
          </w:p>
        </w:tc>
        <w:tc>
          <w:tcPr/>
          <w:p>
            <w:pPr>
              <w:pStyle w:val="Compact"/>
            </w:pPr>
            <w:r>
              <w:t xml:space="preserve">v4.0 retired 2024-12-31, leaving v4.0.1. The future-dated requirements became mandatory 2025-03-31</w:t>
            </w:r>
          </w:p>
        </w:tc>
        <w:tc>
          <w:tcPr/>
          <w:p>
            <w:pPr>
              <w:pStyle w:val="Compact"/>
            </w:pPr>
            <w:r>
              <w:t xml:space="preserve">The council's own document library shows the supported version; your acquirer sets your validation requirement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"FedRAMP is an authorization not a certification, at low, moderate or high, via the JAB or an agency"</w:t>
            </w:r>
          </w:p>
        </w:tc>
        <w:tc>
          <w:tcPr/>
          <w:p>
            <w:pPr>
              <w:pStyle w:val="Compact"/>
            </w:pPr>
            <w:r>
              <w:t xml:space="preserve">The program uses certification vocabulary and lettered classes, and the board that granted provisional authorizations no longer does so</w:t>
            </w:r>
          </w:p>
        </w:tc>
        <w:tc>
          <w:tcPr/>
          <w:p>
            <w:pPr>
              <w:pStyle w:val="Compact"/>
            </w:pPr>
            <w:r>
              <w:t xml:space="preserve">The program's own definitions page. Delivering the old correction now makes you the out-of-date party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"Ask the supplier for their StateRAMP status"</w:t>
            </w:r>
          </w:p>
        </w:tc>
        <w:tc>
          <w:tcPr/>
          <w:p>
            <w:pPr>
              <w:pStyle w:val="Compact"/>
            </w:pPr>
            <w:r>
              <w:t xml:space="preserve">The program has operated as GovRAMP since 2025-02-14, while StateRAMP remains the legal entity name. Both are live</w:t>
            </w:r>
          </w:p>
        </w:tc>
        <w:tc>
          <w:tcPr/>
          <w:p>
            <w:pPr>
              <w:pStyle w:val="Compact"/>
            </w:pPr>
            <w:r>
              <w:t xml:space="preserve">The program's own site, and the participant listing it publishes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"Generate SBOMs to the NTIA 2021 minimum elements, and prefer SPDX because it is the ISO standard"</w:t>
            </w:r>
          </w:p>
        </w:tc>
        <w:tc>
          <w:tcPr/>
          <w:p>
            <w:pPr>
              <w:pStyle w:val="Compact"/>
            </w:pPr>
            <w:r>
              <w:t xml:space="preserve">The 2021 elements were replaced on 2026-07-29. The ISO number attaches to a 2021-era version of that format, not to what current tooling emits</w:t>
            </w:r>
          </w:p>
        </w:tc>
        <w:tc>
          <w:tcPr/>
          <w:p>
            <w:pPr>
              <w:pStyle w:val="Compact"/>
            </w:pPr>
            <w:r>
              <w:t xml:space="preserve">Read the 2026 document, which is freely published, and read the ISO catalog entry for the version it actually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"Require SLSA Level 4"</w:t>
            </w:r>
          </w:p>
        </w:tc>
        <w:tc>
          <w:tcPr/>
          <w:p>
            <w:pPr>
              <w:pStyle w:val="Compact"/>
            </w:pPr>
            <w:r>
              <w:t xml:space="preserve">There is no Build L4. Since v1.2 there is a Source L4, so a bare level number no longer identifies a requirement</w:t>
            </w:r>
          </w:p>
        </w:tc>
        <w:tc>
          <w:tcPr/>
          <w:p>
            <w:pPr>
              <w:pStyle w:val="Compact"/>
            </w:pPr>
            <w:r>
              <w:t xml:space="preserve">The specification's own track pages. Write the track beside the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"SP 800-122 was withdrawn, SP 800-161 Revision 2 is out, and ISO 25010 usability is a characteristic"</w:t>
            </w:r>
          </w:p>
        </w:tc>
        <w:tc>
          <w:tcPr/>
          <w:p>
            <w:pPr>
              <w:pStyle w:val="Compact"/>
            </w:pPr>
            <w:r>
              <w:t xml:space="preserve">SP 800-122 is still Final; its withdrawal exists only as intent inside an unfinished working draft. There is no 800-161 Rev. 2. Usability was replaced in the 2023 edition</w:t>
            </w:r>
          </w:p>
        </w:tc>
        <w:tc>
          <w:tcPr/>
          <w:p>
            <w:pPr>
              <w:pStyle w:val="Compact"/>
            </w:pPr>
            <w:r>
              <w:t xml:space="preserve">Each publication's own record page shows status and date. The 2024-11-01 date people cite is an update to Revision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Xf419bb31d4316203dd4fd5a9c399af24e8e654b"/>
    <w:p>
      <w:pPr>
        <w:pStyle w:val="Heading2"/>
      </w:pPr>
      <w:r>
        <w:t xml:space="preserve">Where an AI coding assistant sits in all this</w:t>
      </w:r>
    </w:p>
    <w:p>
      <w:pPr>
        <w:pStyle w:val="FirstParagraph"/>
      </w:pPr>
      <w:r>
        <w:rPr>
          <w:b/>
          <w:bCs/>
        </w:rPr>
        <w:t xml:space="preserve">Nothing mapped on this page currently governs a developer using an AI coding assistant.</w:t>
      </w:r>
      <w:r>
        <w:t xml:space="preserve"> </w:t>
      </w:r>
      <w:r>
        <w:t xml:space="preserve">That is a</w:t>
      </w:r>
      <w:r>
        <w:t xml:space="preserve"> </w:t>
      </w:r>
      <w:r>
        <w:t xml:space="preserve">finding about the landscape, stated as an absence rather than as a gap somebody has filled.</w:t>
      </w:r>
    </w:p>
    <w:p>
      <w:pPr>
        <w:pStyle w:val="BodyText"/>
      </w:pPr>
      <w:r>
        <w:t xml:space="preserve">Three documents are routinely misfiled as doing so: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SSDF community profile for AI models</w:t>
      </w:r>
      <w:r>
        <w:t xml:space="preserve"> </w:t>
      </w:r>
      <w:r>
        <w:t xml:space="preserve">addresses producing models: data sourcing, training,</w:t>
      </w:r>
      <w:r>
        <w:t xml:space="preserve"> </w:t>
      </w:r>
      <w:r>
        <w:t xml:space="preserve">fine-tuning, evaluation. Its one sentence on the subject says the practices do not distinguish</w:t>
      </w:r>
      <w:r>
        <w:t xml:space="preserve"> </w:t>
      </w:r>
      <w:r>
        <w:t xml:space="preserve">AI-generated source code from human-written code, which is a scoping exclusion rather than</w:t>
      </w:r>
      <w:r>
        <w:t xml:space="preserve"> </w:t>
      </w:r>
      <w:r>
        <w:t xml:space="preserve">guidance.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LLM application ranking</w:t>
      </w:r>
      <w:r>
        <w:t xml:space="preserve"> </w:t>
      </w:r>
      <w:r>
        <w:t xml:space="preserve">addresses securing an application that calls a language model at</w:t>
      </w:r>
      <w:r>
        <w:t xml:space="preserve"> </w:t>
      </w:r>
      <w:r>
        <w:t xml:space="preserve">run time. That is a different subject from governing what an assistant writes for you, and the two</w:t>
      </w:r>
      <w:r>
        <w:t xml:space="preserve"> </w:t>
      </w:r>
      <w:r>
        <w:t xml:space="preserve">are conflated constantly.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NIST control overlays for securing AI systems</w:t>
      </w:r>
      <w:r>
        <w:t xml:space="preserve"> </w:t>
      </w:r>
      <w:r>
        <w:t xml:space="preserve">are in development, with no draft overlay</w:t>
      </w:r>
      <w:r>
        <w:t xml:space="preserve"> </w:t>
      </w:r>
      <w:r>
        <w:t xml:space="preserve">published as of 2026-08-06, so nothing can be aligned with them today.</w:t>
      </w:r>
    </w:p>
    <w:p>
      <w:pPr>
        <w:pStyle w:val="FirstParagraph"/>
      </w:pPr>
      <w:r>
        <w:t xml:space="preserve">No claim is made here that anything published on this site fills that gap.</w:t>
      </w:r>
    </w:p>
    <w:p>
      <w:r>
        <w:pict>
          <v:rect style="width:0;height:1.5pt" o:hralign="center" o:hrstd="t" o:hr="t"/>
        </w:pict>
      </w:r>
    </w:p>
    <w:bookmarkEnd w:id="35"/>
    <w:bookmarkStart w:id="36" w:name="what-this-page-did-not-assess"/>
    <w:p>
      <w:pPr>
        <w:pStyle w:val="Heading2"/>
      </w:pPr>
      <w:r>
        <w:t xml:space="preserve">What this page did not assess</w:t>
      </w:r>
    </w:p>
    <w:p>
      <w:pPr>
        <w:pStyle w:val="FirstParagraph"/>
      </w:pPr>
      <w:r>
        <w:t xml:space="preserve">This page maps at least the items above. It is not a complete map of the security standards landscape</w:t>
      </w:r>
      <w:r>
        <w:t xml:space="preserve"> </w:t>
      </w:r>
      <w:r>
        <w:t xml:space="preserve">and does not claim to be.</w:t>
      </w:r>
    </w:p>
    <w:p>
      <w:pPr>
        <w:pStyle w:val="BodyText"/>
      </w:pPr>
      <w:r>
        <w:rPr>
          <w:b/>
          <w:bCs/>
        </w:rPr>
        <w:t xml:space="preserve">Part 1 -- what is absent entirely.</w:t>
      </w:r>
      <w:r>
        <w:t xml:space="preserve"> </w:t>
      </w:r>
      <w:r>
        <w:t xml:space="preserve">Jurisdictions outside the US and the EU. US state privacy</w:t>
      </w:r>
      <w:r>
        <w:t xml:space="preserve"> </w:t>
      </w:r>
      <w:r>
        <w:t xml:space="preserve">laws. The rest of the ISO/IEC 27000 series and the AI management-system standards. The NIST</w:t>
      </w:r>
      <w:r>
        <w:t xml:space="preserve"> </w:t>
      </w:r>
      <w:r>
        <w:t xml:space="preserve">Cybersecurity Framework and the NIST AI Risk Management Framework. Common Criteria and product</w:t>
      </w:r>
      <w:r>
        <w:t xml:space="preserve"> </w:t>
      </w:r>
      <w:r>
        <w:t xml:space="preserve">evaluation schemes. Proprietary assurance schemes and regional cloud programs. Safety-oriented</w:t>
      </w:r>
      <w:r>
        <w:t xml:space="preserve"> </w:t>
      </w:r>
      <w:r>
        <w:t xml:space="preserve">standards for industrial and vehicle software. Sector regimes beyond the several named above as a</w:t>
      </w:r>
      <w:r>
        <w:t xml:space="preserve"> </w:t>
      </w:r>
      <w:r>
        <w:t xml:space="preserve">set. Also absent: the enforcement and liability exposure that attaches to a signature or a</w:t>
      </w:r>
      <w:r>
        <w:t xml:space="preserve"> </w:t>
      </w:r>
      <w:r>
        <w:t xml:space="preserve">representation, which is a question for counsel and not for this page.</w:t>
      </w:r>
      <w:r>
        <w:t xml:space="preserve"> </w:t>
      </w:r>
      <w:r>
        <w:rPr>
          <w:b/>
          <w:bCs/>
        </w:rPr>
        <w:t xml:space="preserve">If your obligations sit in</w:t>
      </w:r>
      <w:r>
        <w:rPr>
          <w:b/>
          <w:bCs/>
        </w:rPr>
        <w:t xml:space="preserve"> </w:t>
      </w:r>
      <w:r>
        <w:rPr>
          <w:b/>
          <w:bCs/>
        </w:rPr>
        <w:t xml:space="preserve">one of these, this page will tell you nothing about it, and you should not read its silence as</w:t>
      </w:r>
      <w:r>
        <w:rPr>
          <w:b/>
          <w:bCs/>
        </w:rPr>
        <w:t xml:space="preserve"> </w:t>
      </w:r>
      <w:r>
        <w:rPr>
          <w:b/>
          <w:bCs/>
        </w:rPr>
        <w:t xml:space="preserve">coverage.</w:t>
      </w:r>
    </w:p>
    <w:p>
      <w:pPr>
        <w:pStyle w:val="BodyText"/>
      </w:pPr>
      <w:r>
        <w:rPr>
          <w:b/>
          <w:bCs/>
        </w:rPr>
        <w:t xml:space="preserve">Part 2 -- covered here, but not verified at a primary source.</w:t>
      </w:r>
      <w:r>
        <w:t xml:space="preserve"> </w:t>
      </w:r>
      <w:r>
        <w:t xml:space="preserve">Each row names the check to run</w:t>
      </w:r>
      <w:r>
        <w:t xml:space="preserve"> </w:t>
      </w:r>
      <w:r>
        <w:t xml:space="preserve">instead of trusting this page. One limit covers a whole class and is stated once rather than repeated</w:t>
      </w:r>
      <w:r>
        <w:t xml:space="preserve"> </w:t>
      </w:r>
      <w:r>
        <w:t xml:space="preserve">per row: several US regulator and agency sites refused automated requests on the check date, so</w:t>
      </w:r>
      <w:r>
        <w:t xml:space="preserve"> </w:t>
      </w:r>
      <w:r>
        <w:t xml:space="preserve">claims sourced to them were read through search results rather than end to 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is not primary-verified</w:t>
            </w:r>
          </w:p>
        </w:tc>
        <w:tc>
          <w:tcPr/>
          <w:p>
            <w:pPr>
              <w:pStyle w:val="Compact"/>
            </w:pPr>
            <w:r>
              <w:t xml:space="preserve">What to do instead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audit baseline version and dates for the law-enforcement-data policy, which rest on secondary reporting that disagrees with itself</w:t>
            </w:r>
          </w:p>
        </w:tc>
        <w:tc>
          <w:tcPr/>
          <w:p>
            <w:pPr>
              <w:pStyle w:val="Compact"/>
            </w:pPr>
            <w:r>
              <w:t xml:space="preserve">Confirm with the authority that will actually audit, on the date it will happen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primary text of the July 2026 defense phase suspension, which was not readable</w:t>
            </w:r>
          </w:p>
        </w:tc>
        <w:tc>
          <w:tcPr/>
          <w:p>
            <w:pPr>
              <w:pStyle w:val="Compact"/>
            </w:pPr>
            <w:r>
              <w:t xml:space="preserve">Confirm with the contracting officer before acting on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Whether the class deviation pinning the safeguarding clause to an earlier revision is still standing. It has no stated expiry, but the deviation document itself was not readable</w:t>
            </w:r>
          </w:p>
        </w:tc>
        <w:tc>
          <w:tcPr/>
          <w:p>
            <w:pPr>
              <w:pStyle w:val="Compact"/>
            </w:pPr>
            <w:r>
              <w:t xml:space="preserve">Ask the contracting officer, and check the current consolidated class deviation listing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model version currently generating the published exploit-probability scores</w:t>
            </w:r>
          </w:p>
        </w:tc>
        <w:tc>
          <w:tcPr/>
          <w:p>
            <w:pPr>
              <w:pStyle w:val="Compact"/>
            </w:pPr>
            <w:r>
              <w:t xml:space="preserve">Read the comment line in the published data file, not a blog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field-level changes in the 2026 SBOM minimum elements</w:t>
            </w:r>
          </w:p>
        </w:tc>
        <w:tc>
          <w:tcPr/>
          <w:p>
            <w:pPr>
              <w:pStyle w:val="Compact"/>
            </w:pPr>
            <w:r>
              <w:t xml:space="preserve">Read the document, which is freely published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ISO catalog entries, and any clause-level ISO content</w:t>
            </w:r>
          </w:p>
        </w:tc>
        <w:tc>
          <w:tcPr/>
          <w:p>
            <w:pPr>
              <w:pStyle w:val="Compact"/>
            </w:pPr>
            <w:r>
              <w:t xml:space="preserve">Nothing to do without buying the text: automated requests are refused and the content is paywalled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Whether any rescission of the securities disclosure rules has been adopted since the petition</w:t>
            </w:r>
          </w:p>
        </w:tc>
        <w:tc>
          <w:tcPr/>
          <w:p>
            <w:pPr>
              <w:pStyle w:val="Compact"/>
            </w:pPr>
            <w:r>
              <w:t xml:space="preserve">The publisher's own site refused automated requests, so no page was read end to end. Check the rulemaking index and the adopting-release listing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final publication date of the current web application ranking</w:t>
            </w:r>
          </w:p>
        </w:tc>
        <w:tc>
          <w:tcPr/>
          <w:p>
            <w:pPr>
              <w:pStyle w:val="Compact"/>
            </w:pPr>
            <w:r>
              <w:t xml:space="preserve">Read the project's own edition page, which carries the edition as current without stamping a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audit-transition date for certification bodies, which comes from one accreditation body</w:t>
            </w:r>
          </w:p>
        </w:tc>
        <w:tc>
          <w:tcPr/>
          <w:p>
            <w:pPr>
              <w:pStyle w:val="Compact"/>
            </w:pPr>
            <w:r>
              <w:t xml:space="preserve">Ask your own certification body which date applies to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Whether any agency has issued replacement software assurance terms since the January 2026 rescission</w:t>
            </w:r>
          </w:p>
        </w:tc>
        <w:tc>
          <w:tcPr/>
          <w:p>
            <w:pPr>
              <w:pStyle w:val="Compact"/>
            </w:pPr>
            <w:r>
              <w:t xml:space="preserve">Ask the agency and read the contract. Nobody has consolidated this publicly, and it is where the practical answer now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discrepancy between one cloud program's claim of recognition by another and that other program's own published outcome</w:t>
            </w:r>
          </w:p>
        </w:tc>
        <w:tc>
          <w:tcPr/>
          <w:p>
            <w:pPr>
              <w:pStyle w:val="Compact"/>
            </w:pPr>
            <w:r>
              <w:t xml:space="preserve">Left open rather than resolved. Read both programs' own notices before repeating either claim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 3 -- questions this page structurally does not answer.</w:t>
      </w:r>
      <w:r>
        <w:t xml:space="preserve"> </w:t>
      </w:r>
      <w:r>
        <w:t xml:space="preserve">Whether any of this applies to your</w:t>
      </w:r>
      <w:r>
        <w:t xml:space="preserve"> </w:t>
      </w:r>
      <w:r>
        <w:t xml:space="preserve">organization: a clause number decides that, not a web page. Whether you must comply with anything: no</w:t>
      </w:r>
      <w:r>
        <w:t xml:space="preserve"> </w:t>
      </w:r>
      <w:r>
        <w:t xml:space="preserve">legal advice is given here. Which tool, scanner, format or assessor to use: none is named. Whether</w:t>
      </w:r>
      <w:r>
        <w:t xml:space="preserve"> </w:t>
      </w:r>
      <w:r>
        <w:t xml:space="preserve">anything published on this site conforms to, aligns with or partially satisfies anything named above:</w:t>
      </w:r>
      <w:r>
        <w:t xml:space="preserve"> </w:t>
      </w:r>
      <w:r>
        <w:t xml:space="preserve">it does not, and no such claim is made. And how much any of it costs, in money, effort or time: not</w:t>
      </w:r>
      <w:r>
        <w:t xml:space="preserve"> </w:t>
      </w:r>
      <w:r>
        <w:t xml:space="preserve">assessed.</w:t>
      </w:r>
    </w:p>
    <w:p>
      <w:pPr>
        <w:pStyle w:val="BodyText"/>
      </w:pPr>
      <w:r>
        <w:t xml:space="preserve">Where a claim on this page could not be confirmed at a primary source it is listed above rather than</w:t>
      </w:r>
      <w:r>
        <w:t xml:space="preserve"> </w:t>
      </w:r>
      <w:r>
        <w:t xml:space="preserve">smoothed over, and the page prefers "at least these" to an enumeration everywhere it can.</w:t>
      </w:r>
    </w:p>
    <w:p>
      <w:r>
        <w:pict>
          <v:rect style="width:0;height:1.5pt" o:hralign="center" o:hrstd="t" o:hr="t"/>
        </w:pict>
      </w:r>
    </w:p>
    <w:bookmarkEnd w:id="36"/>
    <w:bookmarkStart w:id="45" w:name="sources-and-how-to-re-check-them"/>
    <w:p>
      <w:pPr>
        <w:pStyle w:val="Heading2"/>
      </w:pPr>
      <w:r>
        <w:t xml:space="preserve">Sources, and how to re-check them</w:t>
      </w:r>
    </w:p>
    <w:p>
      <w:pPr>
        <w:pStyle w:val="FirstParagraph"/>
      </w:pPr>
      <w:r>
        <w:t xml:space="preserve">A status is authoritative in at least these four places: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publisher's own publications listing</w:t>
      </w:r>
      <w:r>
        <w:t xml:space="preserve">, which shows Final, Draft, Withdrawn or Superseded</w:t>
      </w:r>
      <w:r>
        <w:t xml:space="preserve"> </w:t>
      </w:r>
      <w:r>
        <w:t xml:space="preserve">against a dated record. For the NIST items that is the</w:t>
      </w:r>
      <w:r>
        <w:t xml:space="preserve"> </w:t>
      </w:r>
      <w:hyperlink r:id="rId37">
        <w:r>
          <w:rPr>
            <w:rStyle w:val="Hyperlink"/>
          </w:rPr>
          <w:t xml:space="preserve">CSRC publication records</w:t>
        </w:r>
      </w:hyperlink>
      <w:r>
        <w:t xml:space="preserve">; for the EU items, the</w:t>
      </w:r>
      <w:r>
        <w:t xml:space="preserve"> </w:t>
      </w:r>
      <w:hyperlink r:id="rId38">
        <w:r>
          <w:rPr>
            <w:rStyle w:val="Hyperlink"/>
          </w:rPr>
          <w:t xml:space="preserve">Commission's own policy pages</w:t>
        </w:r>
      </w:hyperlink>
      <w:r>
        <w:t xml:space="preserve">;</w:t>
      </w:r>
      <w:r>
        <w:t xml:space="preserve"> </w:t>
      </w:r>
      <w:r>
        <w:t xml:space="preserve">for the US federal memoranda and rules, the issuing office and the</w:t>
      </w:r>
      <w:r>
        <w:t xml:space="preserve"> </w:t>
      </w:r>
      <w:hyperlink r:id="rId39">
        <w:r>
          <w:rPr>
            <w:rStyle w:val="Hyperlink"/>
          </w:rPr>
          <w:t xml:space="preserve">Federal Register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program's own definitions page</w:t>
      </w:r>
      <w:r>
        <w:t xml:space="preserve">, for anything whose vocabulary has moved. The</w:t>
      </w:r>
      <w:r>
        <w:t xml:space="preserve"> </w:t>
      </w:r>
      <w:hyperlink r:id="rId40">
        <w:r>
          <w:rPr>
            <w:rStyle w:val="Hyperlink"/>
          </w:rPr>
          <w:t xml:space="preserve">cloud program's definitions</w:t>
        </w:r>
      </w:hyperlink>
      <w:r>
        <w:t xml:space="preserve"> </w:t>
      </w:r>
      <w:r>
        <w:t xml:space="preserve">is the live example.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clause, plus any deviation that modifies it.</w:t>
      </w:r>
      <w:r>
        <w:t xml:space="preserve"> </w:t>
      </w:r>
      <w:r>
        <w:t xml:space="preserve">A publication database answers a different</w:t>
      </w:r>
      <w:r>
        <w:t xml:space="preserve"> </w:t>
      </w:r>
      <w:r>
        <w:t xml:space="preserve">question from the one your contract asks.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data file's own header</w:t>
      </w:r>
      <w:r>
        <w:t xml:space="preserve">, for a generated score. The published exploit-probability data</w:t>
      </w:r>
      <w:r>
        <w:t xml:space="preserve"> </w:t>
      </w:r>
      <w:r>
        <w:t xml:space="preserve">carries a comment line naming the generating model.</w:t>
      </w:r>
    </w:p>
    <w:p>
      <w:pPr>
        <w:pStyle w:val="FirstParagraph"/>
      </w:pPr>
      <w:r>
        <w:rPr>
          <w:b/>
          <w:bCs/>
        </w:rPr>
        <w:t xml:space="preserve">At least these claims rest on secondary analysis rather than a primary source</w:t>
      </w:r>
      <w:r>
        <w:t xml:space="preserve">, each also marked in</w:t>
      </w:r>
      <w:r>
        <w:t xml:space="preserve"> </w:t>
      </w:r>
      <w:r>
        <w:t xml:space="preserve">its own cell: the suspension of the defense program phases beyond the first; the standing of the class</w:t>
      </w:r>
      <w:r>
        <w:t xml:space="preserve"> </w:t>
      </w:r>
      <w:r>
        <w:t xml:space="preserve">deviation that pins the safeguarding clause to an earlier revision; the audit baseline for the</w:t>
      </w:r>
      <w:r>
        <w:t xml:space="preserve"> </w:t>
      </w:r>
      <w:r>
        <w:t xml:space="preserve">law-enforcement-data policy; the certificate transition end date for the 2013 management-system</w:t>
      </w:r>
      <w:r>
        <w:t xml:space="preserve"> </w:t>
      </w:r>
      <w:r>
        <w:t xml:space="preserve">edition; the projected date for the pending sector-rule overhaul; the finalization date of the current</w:t>
      </w:r>
      <w:r>
        <w:t xml:space="preserve"> </w:t>
      </w:r>
      <w:r>
        <w:t xml:space="preserve">web application ranking; and the model version behind the published exploit-probability scores.</w:t>
      </w:r>
    </w:p>
    <w:p>
      <w:pPr>
        <w:pStyle w:val="BodyText"/>
      </w:pPr>
      <w:r>
        <w:t xml:space="preserve">Where a status would otherwise be unverifiable, read the primary document: the</w:t>
      </w:r>
      <w:r>
        <w:t xml:space="preserve"> </w:t>
      </w:r>
      <w:hyperlink r:id="rId41">
        <w:r>
          <w:rPr>
            <w:rStyle w:val="Hyperlink"/>
          </w:rPr>
          <w:t xml:space="preserve">January 2026 memorandum that rescinded the federal attestation mandate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2026 SBOM minimum elements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SSDF publication listing</w:t>
        </w:r>
      </w:hyperlink>
      <w:r>
        <w:t xml:space="preserve">, and the</w:t>
      </w:r>
      <w:r>
        <w:t xml:space="preserve"> </w:t>
      </w:r>
      <w:hyperlink r:id="rId44">
        <w:r>
          <w:rPr>
            <w:rStyle w:val="Hyperlink"/>
          </w:rPr>
          <w:t xml:space="preserve">build and source track specifications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50" w:name="related-pages-on-this-site"/>
    <w:p>
      <w:pPr>
        <w:pStyle w:val="Heading2"/>
      </w:pPr>
      <w:r>
        <w:t xml:space="preserve">Related pages on this site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Whether your teams already do this, rather than which standards reach you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control set for AI-assisted work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AI-assisted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much of the code a human must read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Human review of code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satisfy, and who owns which control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Trusting code you did not write, and controlling what you publish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Judging code, whoever wrote it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Code quality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Running an assessment against a standard with several hundred requirements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Use OWASP ASVS 5.0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Saying which kind of claim you are making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All of it, and how to adopt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Overview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Every status on this page was checked on 2026-08-06.</w:t>
      </w:r>
      <w:r>
        <w:t xml:space="preserve"> </w:t>
      </w:r>
      <w:r>
        <w:t xml:space="preserve">This is a snapshot, not a maintained</w:t>
      </w:r>
      <w:r>
        <w:t xml:space="preserve"> </w:t>
      </w:r>
      <w:r>
        <w:t xml:space="preserve">register: several of the facts above changed within the twelve months before that date, and some will</w:t>
      </w:r>
      <w:r>
        <w:t xml:space="preserve"> </w:t>
      </w:r>
      <w:r>
        <w:t xml:space="preserve">have changed since. Re-check anything you intend to rely on at the four places named in</w:t>
      </w:r>
      <w:r>
        <w:t xml:space="preserve"> </w:t>
      </w:r>
      <w:hyperlink w:anchor="sources-and-how-to-re-check-them">
        <w:r>
          <w:rPr>
            <w:rStyle w:val="Hyperlink"/>
          </w:rPr>
          <w:t xml:space="preserve">Sources</w:t>
        </w:r>
      </w:hyperlink>
      <w:r>
        <w:t xml:space="preserve"> </w:t>
      </w:r>
      <w:r>
        <w:t xml:space="preserve">-- the publisher's own listing, the program's own</w:t>
      </w:r>
      <w:r>
        <w:t xml:space="preserve"> </w:t>
      </w:r>
      <w:r>
        <w:t xml:space="preserve">definitions page, the clause and its deviations, or the data file's own header -- before quoting it.</w:t>
      </w:r>
    </w:p>
    <w:p>
      <w:pPr>
        <w:pStyle w:val="BodyText"/>
      </w:pPr>
      <w:r>
        <w:rPr>
          <w:b/>
          <w:bCs/>
        </w:rPr>
        <w:t xml:space="preserve">MIT licensed.</w:t>
      </w:r>
      <w:r>
        <w:t xml:space="preserve"> </w:t>
      </w:r>
      <w:r>
        <w:t xml:space="preserve">Adapt this, put your own name on it, and delete anything you cannot stand behind.</w:t>
      </w:r>
      <w:r>
        <w:t xml:space="preserve"> </w:t>
      </w:r>
      <w:r>
        <w:t xml:space="preserve">Re-date it when you do: a status claim inherits the date it was checked, not the date it was copied.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../ASVS-ASSESSMENT.md" TargetMode="External" /><Relationship Type="http://schemas.openxmlformats.org/officeDocument/2006/relationships/hyperlink" Id="rId48" Target="../CI-AND-STANDARDS.md" TargetMode="External" /><Relationship Type="http://schemas.openxmlformats.org/officeDocument/2006/relationships/hyperlink" Id="rId46" Target="AI-ASSISTED-DEVELOPMENT.md" TargetMode="External" /><Relationship Type="http://schemas.openxmlformats.org/officeDocument/2006/relationships/hyperlink" Id="rId13" Target="CISO-SUMMARY.md" TargetMode="External" /><Relationship Type="http://schemas.openxmlformats.org/officeDocument/2006/relationships/hyperlink" Id="rId29" Target="CODE-QUALITY.md" TargetMode="External" /><Relationship Type="http://schemas.openxmlformats.org/officeDocument/2006/relationships/hyperlink" Id="rId19" Target="DEPENDENCY-INTEGRITY.md" TargetMode="External" /><Relationship Type="http://schemas.openxmlformats.org/officeDocument/2006/relationships/hyperlink" Id="rId49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47" Target="REVIEW-DEPTH.md" TargetMode="External" /><Relationship Type="http://schemas.openxmlformats.org/officeDocument/2006/relationships/hyperlink" Id="rId25" Target="SECURE-DEVELOPMENT.md" TargetMode="External" /><Relationship Type="http://schemas.openxmlformats.org/officeDocument/2006/relationships/hyperlink" Id="rId43" Target="https://csrc.nist.gov/Projects/ssdf/publications" TargetMode="External" /><Relationship Type="http://schemas.openxmlformats.org/officeDocument/2006/relationships/hyperlink" Id="rId37" Target="https://csrc.nist.gov/publications" TargetMode="External" /><Relationship Type="http://schemas.openxmlformats.org/officeDocument/2006/relationships/hyperlink" Id="rId38" Target="https://digital-strategy.ec.europa.eu/en/policies/cyber-resilience-act" TargetMode="External" /><Relationship Type="http://schemas.openxmlformats.org/officeDocument/2006/relationships/hyperlink" Id="rId9" Target="https://raw.githubusercontent.com/wshallwshall/claude-multisession/main/docs/standards/STANDARDS-LANDSCAPE.md" TargetMode="External" /><Relationship Type="http://schemas.openxmlformats.org/officeDocument/2006/relationships/hyperlink" Id="rId10" Target="https://raw.githubusercontent.com/wshallwshall/claude-multisession/main/docs/standards/word/STANDARDS-LANDSCAPE.docx" TargetMode="External" /><Relationship Type="http://schemas.openxmlformats.org/officeDocument/2006/relationships/hyperlink" Id="rId44" Target="https://slsa.dev/spec/v1.2/build-requirements" TargetMode="External" /><Relationship Type="http://schemas.openxmlformats.org/officeDocument/2006/relationships/hyperlink" Id="rId42" Target="https://www.cisa.gov/resources-tools/resources/2026-minimum-elements-software-bill-materials-sbom" TargetMode="External" /><Relationship Type="http://schemas.openxmlformats.org/officeDocument/2006/relationships/hyperlink" Id="rId39" Target="https://www.federalregister.gov/" TargetMode="External" /><Relationship Type="http://schemas.openxmlformats.org/officeDocument/2006/relationships/hyperlink" Id="rId40" Target="https://www.fedramp.gov/2026/definitions/" TargetMode="External" /><Relationship Type="http://schemas.openxmlformats.org/officeDocument/2006/relationships/hyperlink" Id="rId41" Target="https://www.whitehouse.gov/wp-content/uploads/2026/01/M-26-05-Adopting-a-Risk-based-Approach-to-Software-and-Hardware-Security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ASVS-ASSESSMENT.md" TargetMode="External" /><Relationship Type="http://schemas.openxmlformats.org/officeDocument/2006/relationships/hyperlink" Id="rId48" Target="../CI-AND-STANDARDS.md" TargetMode="External" /><Relationship Type="http://schemas.openxmlformats.org/officeDocument/2006/relationships/hyperlink" Id="rId46" Target="AI-ASSISTED-DEVELOPMENT.md" TargetMode="External" /><Relationship Type="http://schemas.openxmlformats.org/officeDocument/2006/relationships/hyperlink" Id="rId13" Target="CISO-SUMMARY.md" TargetMode="External" /><Relationship Type="http://schemas.openxmlformats.org/officeDocument/2006/relationships/hyperlink" Id="rId29" Target="CODE-QUALITY.md" TargetMode="External" /><Relationship Type="http://schemas.openxmlformats.org/officeDocument/2006/relationships/hyperlink" Id="rId19" Target="DEPENDENCY-INTEGRITY.md" TargetMode="External" /><Relationship Type="http://schemas.openxmlformats.org/officeDocument/2006/relationships/hyperlink" Id="rId49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47" Target="REVIEW-DEPTH.md" TargetMode="External" /><Relationship Type="http://schemas.openxmlformats.org/officeDocument/2006/relationships/hyperlink" Id="rId25" Target="SECURE-DEVELOPMENT.md" TargetMode="External" /><Relationship Type="http://schemas.openxmlformats.org/officeDocument/2006/relationships/hyperlink" Id="rId43" Target="https://csrc.nist.gov/Projects/ssdf/publications" TargetMode="External" /><Relationship Type="http://schemas.openxmlformats.org/officeDocument/2006/relationships/hyperlink" Id="rId37" Target="https://csrc.nist.gov/publications" TargetMode="External" /><Relationship Type="http://schemas.openxmlformats.org/officeDocument/2006/relationships/hyperlink" Id="rId38" Target="https://digital-strategy.ec.europa.eu/en/policies/cyber-resilience-act" TargetMode="External" /><Relationship Type="http://schemas.openxmlformats.org/officeDocument/2006/relationships/hyperlink" Id="rId9" Target="https://raw.githubusercontent.com/wshallwshall/claude-multisession/main/docs/standards/STANDARDS-LANDSCAPE.md" TargetMode="External" /><Relationship Type="http://schemas.openxmlformats.org/officeDocument/2006/relationships/hyperlink" Id="rId10" Target="https://raw.githubusercontent.com/wshallwshall/claude-multisession/main/docs/standards/word/STANDARDS-LANDSCAPE.docx" TargetMode="External" /><Relationship Type="http://schemas.openxmlformats.org/officeDocument/2006/relationships/hyperlink" Id="rId44" Target="https://slsa.dev/spec/v1.2/build-requirements" TargetMode="External" /><Relationship Type="http://schemas.openxmlformats.org/officeDocument/2006/relationships/hyperlink" Id="rId42" Target="https://www.cisa.gov/resources-tools/resources/2026-minimum-elements-software-bill-materials-sbom" TargetMode="External" /><Relationship Type="http://schemas.openxmlformats.org/officeDocument/2006/relationships/hyperlink" Id="rId39" Target="https://www.federalregister.gov/" TargetMode="External" /><Relationship Type="http://schemas.openxmlformats.org/officeDocument/2006/relationships/hyperlink" Id="rId40" Target="https://www.fedramp.gov/2026/definitions/" TargetMode="External" /><Relationship Type="http://schemas.openxmlformats.org/officeDocument/2006/relationships/hyperlink" Id="rId41" Target="https://www.whitehouse.gov/wp-content/uploads/2026/01/M-26-05-Adopting-a-Risk-based-Approach-to-Software-and-Hardware-Security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2026-08-06T10:42:36Z</dcterms:created>
  <dcterms:modified xsi:type="dcterms:W3CDTF">2026-08-06T10:42:36Z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