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t xml:space="preserve">A standard for building software with an AI coding assistant. What can go wrong that looks like nothing</w:t>
      </w:r>
      <w:r>
        <w:t xml:space="preserve"> </w:t>
      </w:r>
      <w:r>
        <w:t xml:space="preserve">going wrong, and which control neutralizes each one. How much rigor a given change actually needs.</w:t>
      </w:r>
      <w:r>
        <w:t xml:space="preserve"> </w:t>
      </w:r>
      <w:r>
        <w:t xml:space="preserve">And when to spend real money on an adversarial verification pass instead of a second opinion that is</w:t>
      </w:r>
      <w:r>
        <w:t xml:space="preserve"> </w:t>
      </w:r>
      <w:r>
        <w:t xml:space="preserve">worth almost nothing.</w:t>
      </w:r>
    </w:p>
    <w:p>
      <w:pPr>
        <w:pStyle w:val="BlockText"/>
      </w:pPr>
      <w:r>
        <w:rPr>
          <w:b/>
          <w:bCs/>
        </w:rPr>
        <w:t xml:space="preserve">This one is dense.</w:t>
      </w:r>
      <w:r>
        <w:t xml:space="preserve"> </w:t>
      </w:r>
      <w:r>
        <w:t xml:space="preserve">Reading it end to end works, and you will need to eventually -- it</w:t>
      </w:r>
      <w:r>
        <w:t xml:space="preserve"> </w:t>
      </w:r>
      <w:r>
        <w:t xml:space="preserve">becomes your standard once you adopt it. It is usually faster to hand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to Claude Code, or</w:t>
      </w:r>
      <w:r>
        <w:t xml:space="preserve"> </w:t>
      </w:r>
      <w:r>
        <w:t xml:space="preserve">another AI coding assistant, and ask it to summarize this against your repository,</w:t>
      </w:r>
      <w:r>
        <w:t xml:space="preserve"> </w:t>
      </w:r>
      <w:r>
        <w:t xml:space="preserve">rewrite a section in plainer terms, or answer what already holds here and what would have to</w:t>
      </w:r>
      <w:r>
        <w:t xml:space="preserve"> </w:t>
      </w:r>
      <w:r>
        <w:t xml:space="preserve">change.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</w:t>
      </w:r>
      <w:r>
        <w:t xml:space="preserve"> </w:t>
      </w:r>
      <w:r>
        <w:t xml:space="preserve">resolve any change to exactly one tier, and the tier says which controls are mandatory and which</w:t>
      </w:r>
      <w:r>
        <w:t xml:space="preserve"> </w:t>
      </w:r>
      <w:r>
        <w:t xml:space="preserve">you may skip. A one-line fix does not carry release-grade ceremony, in writing, which is what</w:t>
      </w:r>
      <w:r>
        <w:t xml:space="preserve"> </w:t>
      </w:r>
      <w:r>
        <w:t xml:space="preserve">stops a heavy 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</w:t>
      </w:r>
      <w:r>
        <w:t xml:space="preserve"> </w:t>
      </w:r>
      <w:r>
        <w:t xml:space="preserve">answer 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</w:t>
      </w:r>
      <w:r>
        <w:t xml:space="preserve"> </w:t>
      </w:r>
      <w:r>
        <w:t xml:space="preserve">so you can audit your own practice with five questions -- and test any proposed new rule by asking</w:t>
      </w:r>
      <w:r>
        <w:t xml:space="preserve"> </w:t>
      </w:r>
      <w:r>
        <w:t xml:space="preserve">which mode it neutralizes.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code.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name</w:t>
      </w:r>
      <w:r>
        <w:t xml:space="preserve"> </w:t>
      </w:r>
      <w:r>
        <w:t xml:space="preserve">the compensating set, name the event that ends the deviation -- instead of overclaiming review</w:t>
      </w:r>
      <w:r>
        <w:t xml:space="preserve"> </w:t>
      </w:r>
      <w:r>
        <w:t xml:space="preserve">coverage 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with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feature. Verifiers that did not produce the artifact, told to refute rather than</w:t>
      </w:r>
      <w:r>
        <w:t xml:space="preserve"> </w:t>
      </w:r>
      <w:r>
        <w:t xml:space="preserve">review, given distinct lenses, reporting a counterexample and a command log. Plus the honest</w:t>
      </w:r>
      <w:r>
        <w:t xml:space="preserve"> </w:t>
      </w:r>
      <w:r>
        <w:t xml:space="preserve">cases 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assistant output quality in the codebase you already have</w:t>
      </w:r>
      <w:r>
        <w:t xml:space="preserve">, and the</w:t>
      </w:r>
      <w:r>
        <w:t xml:space="preserve"> </w:t>
      </w:r>
      <w:r>
        <w:t xml:space="preserve">reason each one works.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nothing.</w:t>
      </w:r>
      <w:r>
        <w:t xml:space="preserve"> </w:t>
      </w:r>
      <w:r>
        <w:t xml:space="preserve">No hooks, no prompts, no configuration, no workflow. It is a standard</w:t>
      </w:r>
      <w:r>
        <w:t xml:space="preserve"> </w:t>
      </w:r>
      <w:r>
        <w:t xml:space="preserve">and a set of rules. Everything it references as a mechanism lives in another page of this site or</w:t>
      </w:r>
      <w:r>
        <w:t xml:space="preserve"> </w:t>
      </w:r>
      <w:r>
        <w:t xml:space="preserve">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</w:t>
      </w:r>
      <w:r>
        <w:t xml:space="preserve"> </w:t>
      </w:r>
      <w:r>
        <w:t xml:space="preserve">it is not a substitute for an adopter's own assessment. It produces build-provenance evidence,</w:t>
      </w:r>
      <w:r>
        <w:t xml:space="preserve"> </w:t>
      </w:r>
      <w:r>
        <w:t xml:space="preserve">which is 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checklist. Its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</w:t>
      </w:r>
      <w:r>
        <w:t xml:space="preserve"> </w:t>
      </w:r>
      <w:r>
        <w:t xml:space="preserve">can be revised, and every one of them was wrong within a release in the material this was drawn</w:t>
      </w:r>
      <w:r>
        <w:t xml:space="preserve"> </w:t>
      </w:r>
      <w:r>
        <w:t xml:space="preserve">from. Where a limit matters to a design decision, the rule is to discover it with a pilot run</w:t>
      </w:r>
      <w:r>
        <w:t xml:space="preserve"> </w:t>
      </w:r>
      <w:r>
        <w:t xml:space="preserve">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surface.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 content</w:t>
      </w:r>
      <w:r>
        <w:t xml:space="preserve"> </w:t>
      </w:r>
      <w:r>
        <w:t xml:space="preserve">scan, because a path rule cannot stop a paste.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for a 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 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t xml:space="preserve">On the fifth mode specifically: assistance raises confidence faster than it raises correctness, and</w:t>
      </w:r>
      <w:r>
        <w:t xml:space="preserve"> </w:t>
      </w:r>
      <w:r>
        <w:t xml:space="preserve">this bites hardest exactly when the author reviews their own assisted output. That is the strongest</w:t>
      </w:r>
      <w:r>
        <w:t xml:space="preserve"> </w:t>
      </w:r>
      <w:r>
        <w:t xml:space="preserve">argument for keeping a review step you might otherwise drop for speed, and for the adversarial</w:t>
      </w:r>
      <w:r>
        <w:t xml:space="preserve"> </w:t>
      </w:r>
      <w:r>
        <w:t xml:space="preserve">verification pass in section 7. It is also why the site's rule</w:t>
      </w:r>
      <w:r>
        <w:t xml:space="preserve"> </w:t>
      </w:r>
      <w:r>
        <w:rPr>
          <w:i/>
          <w:iCs/>
        </w:rPr>
        <w:t xml:space="preserve">"Do not claim a speed or quality gain</w:t>
      </w:r>
      <w:r>
        <w:rPr>
          <w:i/>
          <w:iCs/>
        </w:rPr>
        <w:t xml:space="preserve"> </w:t>
      </w:r>
      <w:r>
        <w:rPr>
          <w:i/>
          <w:iCs/>
        </w:rPr>
        <w:t xml:space="preserve">you have not measured here"</w:t>
      </w:r>
      <w:r>
        <w:t xml:space="preserve"> </w:t>
      </w:r>
      <w:r>
        <w:t xml:space="preserve">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own</w:t>
      </w:r>
      <w:r>
        <w:t xml:space="preserve"> </w:t>
      </w:r>
      <w:r>
        <w:t xml:space="preserve">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7"/>
    <w:bookmarkStart w:id="22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8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 Most day-to-day work in a system that carries</w:t>
      </w:r>
      <w:r>
        <w:t xml:space="preserve"> </w:t>
      </w:r>
      <w:r>
        <w:t xml:space="preserve">sensitive data resolves on this question alone; the reach axis matters mainly for code-only and</w:t>
      </w:r>
      <w:r>
        <w:t xml:space="preserve"> </w:t>
      </w:r>
      <w:r>
        <w:t xml:space="preserve">synthetic-only changes.</w:t>
      </w:r>
    </w:p>
    <w:bookmarkEnd w:id="18"/>
    <w:bookmarkStart w:id="19" w:name="the-two-axes"/>
    <w:p>
      <w:pPr>
        <w:pStyle w:val="Heading3"/>
      </w:pPr>
      <w:r>
        <w:t xml:space="preserve">The two axes</w:t>
      </w:r>
    </w:p>
    <w:p>
      <w:pPr>
        <w:pStyle w:val="FirstParagraph"/>
      </w:pPr>
      <w:r>
        <w:rPr>
          <w:b/>
          <w:bCs/>
        </w:rPr>
        <w:t xml:space="preserve">Reach (blast radius).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 The cell values in the matrix below were</w:t>
      </w:r>
      <w:r>
        <w:t xml:space="preserve"> </w:t>
      </w:r>
      <w:r>
        <w:t xml:space="preserve">carried over from the team-size version rather than re-derived against the new axis, so treat them</w:t>
      </w:r>
      <w:r>
        <w:t xml:space="preserve"> </w:t>
      </w:r>
      <w:r>
        <w:t xml:space="preserve">as directional: check the cells against your own work before adopting them unchanged.</w:t>
      </w:r>
    </w:p>
    <w:p>
      <w:pPr>
        <w:pStyle w:val="BodyText"/>
      </w:pPr>
      <w:r>
        <w:rPr>
          <w:b/>
          <w:bCs/>
        </w:rPr>
        <w:t xml:space="preserve">Sensitivity (the dominant ratchet).</w:t>
      </w:r>
      <w:r>
        <w:t xml:space="preserve"> </w:t>
      </w:r>
      <w:r>
        <w:t xml:space="preserve">This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assistant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19"/>
    <w:bookmarkStart w:id="20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t xml:space="preserve">The two axes are not symmetric, and that is deliberate.</w:t>
      </w:r>
      <w:r>
        <w:t xml:space="preserve"> </w:t>
      </w:r>
      <w:r>
        <w:rPr>
          <w:b/>
          <w:bCs/>
        </w:rPr>
        <w:t xml:space="preserve">D2 and D3 force at least T3 regardless of</w:t>
      </w:r>
      <w:r>
        <w:rPr>
          <w:b/>
          <w:bCs/>
        </w:rPr>
        <w:t xml:space="preserve"> </w:t>
      </w:r>
      <w:r>
        <w:rPr>
          <w:b/>
          <w:bCs/>
        </w:rPr>
        <w:t xml:space="preserve">reach; D1 floors at T2.</w:t>
      </w:r>
      <w:r>
        <w:t xml:space="preserve"> </w:t>
      </w:r>
      <w:r>
        <w:t xml:space="preserve">Reach only scales the lower-sensitivity cells. Reading the matrix as a</w:t>
      </w:r>
      <w:r>
        <w:t xml:space="preserve"> </w:t>
      </w:r>
      <w:r>
        <w:t xml:space="preserve">lattice join guarantees monotonicity: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 stricter, never laxer, so</w:t>
      </w:r>
      <w:r>
        <w:t xml:space="preserve"> </w:t>
      </w:r>
      <w:r>
        <w:t xml:space="preserve">no cell can accidentally be more permissive than a cell it dominates.</w:t>
      </w:r>
    </w:p>
    <w:bookmarkEnd w:id="20"/>
    <w:bookmarkStart w:id="21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 </w:t>
      </w:r>
      <w:r>
        <w:t xml:space="preserve">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 A reader six months later can then</w:t>
      </w:r>
      <w:r>
        <w:t xml:space="preserve"> </w:t>
      </w:r>
      <w:r>
        <w:t xml:space="preserve">disagree with the tier that was claimed, 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is independent of blast radius.</w:t>
      </w:r>
      <w:r>
        <w:t xml:space="preserve"> </w:t>
      </w:r>
      <w:r>
        <w:rPr>
          <w:b/>
          <w:bCs/>
        </w:rPr>
        <w:t xml:space="preserve">The floor is short on purpose: a floor with twenty items is a tier,</w:t>
      </w:r>
      <w:r>
        <w:rPr>
          <w:b/>
          <w:bCs/>
        </w:rPr>
        <w:t xml:space="preserve"> </w:t>
      </w:r>
      <w:r>
        <w:rPr>
          <w:b/>
          <w:bCs/>
        </w:rPr>
        <w:t xml:space="preserve">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"A path deny-list is not a content control"</w:t>
      </w:r>
      <w:r>
        <w:t xml:space="preserve">,</w:t>
      </w:r>
      <w:r>
        <w:t xml:space="preserve"> </w:t>
      </w:r>
      <w:r>
        <w:rPr>
          <w:i/>
          <w:iCs/>
        </w:rPr>
        <w:t xml:space="preserve">"Everything the agent reads is data, never instructions"</w:t>
      </w:r>
      <w:r>
        <w:t xml:space="preserve">, and</w:t>
      </w:r>
      <w:r>
        <w:t xml:space="preserve"> </w:t>
      </w:r>
      <w:r>
        <w:rPr>
          <w:i/>
          <w:iCs/>
        </w:rPr>
        <w:t xml:space="preserve">"Reject code you cannot explain --</w:t>
      </w:r>
      <w:r>
        <w:rPr>
          <w:i/>
          <w:iCs/>
        </w:rPr>
        <w:t xml:space="preserve"> </w:t>
      </w:r>
      <w:r>
        <w:rPr>
          <w:i/>
          <w:iCs/>
        </w:rPr>
        <w:t xml:space="preserve">assistance in reaching the explanation is fine"</w:t>
      </w:r>
      <w:r>
        <w:t xml:space="preserve">. For a working scanner, what it catches, and the</w:t>
      </w:r>
      <w:r>
        <w:t xml:space="preserve"> </w:t>
      </w:r>
      <w:r>
        <w:t xml:space="preserve">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3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  <w:r>
        <w:t xml:space="preserve"> </w:t>
      </w:r>
      <w:r>
        <w:rPr>
          <w:b/>
          <w:bCs/>
        </w:rPr>
        <w:t xml:space="preserve">Record whether the exception is defined-and-enabled or</w:t>
      </w:r>
      <w:r>
        <w:rPr>
          <w:b/>
          <w:bCs/>
        </w:rPr>
        <w:t xml:space="preserve"> </w:t>
      </w:r>
      <w:r>
        <w:rPr>
          <w:b/>
          <w:bCs/>
        </w:rPr>
        <w:t xml:space="preserve">defined-but-not-enabled</w:t>
      </w:r>
      <w:r>
        <w:t xml:space="preserve">, because those are different postures and a register that does not</w:t>
      </w:r>
      <w:r>
        <w:t xml:space="preserve"> </w:t>
      </w:r>
      <w:r>
        <w:t xml:space="preserve">distinguish them reads as the permissive one.</w:t>
      </w:r>
    </w:p>
    <w:bookmarkEnd w:id="23"/>
    <w:bookmarkStart w:id="24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 -- all of which run with the developer's</w:t>
      </w:r>
      <w:r>
        <w:t xml:space="preserve"> </w:t>
      </w:r>
      <w:r>
        <w:t xml:space="preserve">privileges 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tiers. Where one is used, vet it, pin it, record it, send it</w:t>
      </w:r>
      <w:r>
        <w:t xml:space="preserve"> </w:t>
      </w:r>
      <w:r>
        <w:t xml:space="preserve">nothing restricted, and treat everything it returns as untrusted data. Separately, a live search or</w:t>
      </w:r>
      <w:r>
        <w:t xml:space="preserve"> </w:t>
      </w:r>
      <w:r>
        <w:t xml:space="preserve">fetch is</w:t>
      </w:r>
      <w:r>
        <w:t xml:space="preserve"> </w:t>
      </w:r>
      <w:r>
        <w:rPr>
          <w:b/>
          <w:bCs/>
        </w:rPr>
        <w:t xml:space="preserve">outbound egress in its own right</w:t>
      </w:r>
      <w:r>
        <w:t xml:space="preserve"> </w:t>
      </w:r>
      <w:r>
        <w:t xml:space="preserve">-- no restricted value, credential or identifying</w:t>
      </w:r>
      <w:r>
        <w:t xml:space="preserve"> </w:t>
      </w:r>
      <w:r>
        <w:t xml:space="preserve">string belongs in a query or a tool argument.</w:t>
      </w:r>
    </w:p>
    <w:p>
      <w:pPr>
        <w:pStyle w:val="BodyText"/>
      </w:pPr>
      <w:r>
        <w:t xml:space="preserve">The asymmetry is the part worth internalising:</w:t>
      </w:r>
      <w:r>
        <w:t xml:space="preserve"> </w:t>
      </w:r>
      <w:r>
        <w:rPr>
          <w:b/>
          <w:bCs/>
        </w:rPr>
        <w:t xml:space="preserve">a commit-time content scanner catches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string that lands in a commit, but it is not a live interceptor of an outbound query.</w:t>
      </w:r>
      <w:r>
        <w:t xml:space="preserve"> </w:t>
      </w:r>
      <w:r>
        <w:t xml:space="preserve">Nothing</w:t>
      </w:r>
      <w:r>
        <w:t xml:space="preserve"> </w:t>
      </w:r>
      <w:r>
        <w:t xml:space="preserve">mechanical stands between the agent and that channel. The discipline there is on the human, and your</w:t>
      </w:r>
      <w:r>
        <w:t xml:space="preserve"> </w:t>
      </w:r>
      <w:r>
        <w:t xml:space="preserve">documentation must say so rather than letting a green scanner imply coverage it does not have.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 coding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&gt; -- a hook, a deny-list, a blocking pipeline job, a validate-and-dry-run command. It is</w:t>
      </w:r>
      <w:r>
        <w:t xml:space="preserve"> </w:t>
      </w:r>
      <w:r>
        <w:t xml:space="preserve">never an &gt; instruction to the model to be careful. Prompt-based optimization for security or</w:t>
      </w:r>
      <w:r>
        <w:t xml:space="preserve"> </w:t>
      </w:r>
      <w:r>
        <w:t xml:space="preserve">maintainability &gt; is unstable and must not be relied on.</w:t>
      </w:r>
      <w:r>
        <w:t xml:space="preserve"> </w:t>
      </w:r>
      <w:r>
        <w:rPr>
          <w:b/>
          <w:bCs/>
        </w:rPr>
        <w:t xml:space="preserve">The model must not self-certify</w:t>
      </w:r>
      <w:r>
        <w:rPr>
          <w:b/>
          <w:bCs/>
        </w:rPr>
        <w:t xml:space="preserve"> </w:t>
      </w:r>
      <w:r>
        <w:rPr>
          <w:b/>
          <w:bCs/>
        </w:rPr>
        <w:t xml:space="preserve">security or &gt; maintainability by prompting alone</w:t>
      </w:r>
      <w:r>
        <w:t xml:space="preserve">, an AI coding AI-run review is advisory input</w:t>
      </w:r>
      <w:r>
        <w:t xml:space="preserve"> </w:t>
      </w:r>
      <w:r>
        <w:t xml:space="preserve">a human arbitrates, &gt; and no change merges on the AI coding assistant's own assurance that it is safe.</w:t>
      </w:r>
    </w:p>
    <w:p>
      <w:pPr>
        <w:pStyle w:val="FirstParagraph"/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green local run is not a green pipeline"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"Scoped-green is not the gate"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"A check that cannot fail is not a control"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"Ship the guard the same day as the rule"</w:t>
      </w:r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26"/>
    <w:bookmarkStart w:id="36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27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  <w:r>
        <w:t xml:space="preserve"> </w:t>
      </w:r>
      <w:r>
        <w:t xml:space="preserve">A stale anchor is worse than none, because it is confidently loaded into every</w:t>
      </w:r>
      <w:r>
        <w:t xml:space="preserve"> </w:t>
      </w:r>
      <w:r>
        <w:t xml:space="preserve">session.</w:t>
      </w:r>
    </w:p>
    <w:bookmarkEnd w:id="27"/>
    <w:bookmarkStart w:id="28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28"/>
    <w:bookmarkStart w:id="2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 The site owns the plan-then-diff rule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 first, then review the diff against the</w:t>
      </w:r>
      <w:r>
        <w:rPr>
          <w:i/>
          <w:iCs/>
        </w:rPr>
        <w:t xml:space="preserve"> </w:t>
      </w:r>
      <w:r>
        <w:rPr>
          <w:i/>
          <w:iCs/>
        </w:rPr>
        <w:t xml:space="preserve">plan"</w:t>
      </w:r>
      <w:r>
        <w:t xml:space="preserve">.</w:t>
      </w:r>
    </w:p>
    <w:bookmarkEnd w:id="29"/>
    <w:bookmarkStart w:id="3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 It also lives outside the repository in most setups, which means it is outside</w:t>
      </w:r>
      <w:r>
        <w:t xml:space="preserve"> </w:t>
      </w:r>
      <w:r>
        <w:t xml:space="preserve">every content gate you installed -- see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</w:t>
      </w:r>
      <w:r>
        <w:t xml:space="preserve"> </w:t>
      </w:r>
      <w:r>
        <w:t xml:space="preserve">when several sessions share it.</w:t>
      </w:r>
    </w:p>
    <w:bookmarkEnd w:id="31"/>
    <w:bookmarkStart w:id="3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32"/>
    <w:bookmarkStart w:id="3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33"/>
    <w:bookmarkStart w:id="35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r>
        <w:t xml:space="preserve">The threshold for taking manual control back, and the reason grinding in a polluted context is the</w:t>
      </w:r>
      <w:r>
        <w:t xml:space="preserve"> </w:t>
      </w:r>
      <w:r>
        <w:t xml:space="preserve">expensive failure rather than a bad suggestion, are in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.</w:t>
      </w:r>
      <w:r>
        <w:t xml:space="preserve"> </w:t>
      </w: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74a26f4f90fb3f04978edaba3bdc19e8998557f"/>
    <w:p>
      <w:pPr>
        <w:pStyle w:val="Heading2"/>
      </w:pPr>
      <w:r>
        <w:t xml:space="preserve">6. Provenance, review, and saying what you actually have</w:t>
      </w:r>
    </w:p>
    <w:bookmarkStart w:id="37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 The one addition this standard makes is that</w:t>
      </w:r>
      <w:r>
        <w:t xml:space="preserve"> </w:t>
      </w:r>
      <w:r>
        <w:rPr>
          <w:b/>
          <w:bCs/>
        </w:rPr>
        <w:t xml:space="preserve">the tier is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plan you approve</w:t>
      </w:r>
      <w:r>
        <w:t xml:space="preserve">, not something derived afterwards to justify the review depth you happened to</w:t>
      </w:r>
      <w:r>
        <w:t xml:space="preserve"> </w:t>
      </w:r>
      <w:r>
        <w:t xml:space="preserve">apply.</w:t>
      </w:r>
    </w:p>
    <w:bookmarkEnd w:id="37"/>
    <w:bookmarkStart w:id="38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 Make</w:t>
      </w:r>
      <w:r>
        <w:t xml:space="preserve"> </w:t>
      </w:r>
      <w:r>
        <w:t xml:space="preserve">enumerating them a review step rather than a hope, and prefer one deterministic check over all</w:t>
      </w:r>
      <w:r>
        <w:t xml:space="preserve"> </w:t>
      </w:r>
      <w:r>
        <w:t xml:space="preserve">instances to a recurring manual sweep. Full rule and the audit finding behind it:</w:t>
      </w:r>
      <w:r>
        <w:t xml:space="preserve"> 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38"/>
    <w:bookmarkStart w:id="39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doing.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: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 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 If the count is zero, record it as</w:t>
      </w:r>
      <w:r>
        <w:t xml:space="preserve"> </w:t>
      </w:r>
      <w:r>
        <w:rPr>
          <w:b/>
          <w:bCs/>
        </w:rPr>
        <w:t xml:space="preserve">designed-and-blocked</w:t>
      </w:r>
      <w:r>
        <w:t xml:space="preserve">, name the structural blocker, and add a drift test that fails if the claim</w:t>
      </w:r>
      <w:r>
        <w:t xml:space="preserve"> </w:t>
      </w:r>
      <w:r>
        <w:t xml:space="preserve">is reinstated while the practice contradicts it. Before enforcing any trailer, check its form against</w:t>
      </w:r>
      <w:r>
        <w:t xml:space="preserve"> </w:t>
      </w:r>
      <w:r>
        <w:t xml:space="preserve">the merge gates that will see it; then enforce 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</w:t>
      </w:r>
      <w:r>
        <w:t xml:space="preserve"> </w:t>
      </w:r>
      <w:r>
        <w:t xml:space="preserve">pipeline backstop, so a local bypass does not defeat it. The general form of this --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 </w:t>
      </w:r>
      <w:r>
        <w:t xml:space="preserve">-- is on the site already; the two deltas above are the parts specific to a provenance</w:t>
      </w:r>
      <w:r>
        <w:t xml:space="preserve"> </w:t>
      </w:r>
      <w:r>
        <w:t xml:space="preserve">trailer.</w:t>
      </w:r>
    </w:p>
    <w:p>
      <w:pPr>
        <w:pStyle w:val="BodyText"/>
      </w:pPr>
      <w:r>
        <w:t xml:space="preserve">Be equally precise about granularity. 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granularity.</w:t>
      </w:r>
      <w:r>
        <w:t xml:space="preserve"> </w:t>
      </w:r>
      <w:r>
        <w:t xml:space="preserve">It does not mark which lines or hunks were AI-authored. If a downstream process wants the</w:t>
      </w:r>
      <w:r>
        <w:t xml:space="preserve"> </w:t>
      </w:r>
      <w:r>
        <w:t xml:space="preserve">line-level distinction, that is a separate, unbuilt thing, and saying so costs nothing.</w:t>
      </w:r>
    </w:p>
    <w:bookmarkEnd w:id="39"/>
    <w:bookmarkStart w:id="40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 coding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t xml:space="preserve">The obligation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achievable alone is concrete: 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 The obligation that is not achievable alone is</w:t>
      </w:r>
      <w:r>
        <w:t xml:space="preserve"> </w:t>
      </w:r>
      <w:r>
        <w:t xml:space="preserve">independent review, and it stays in the register as a deviation until it is.</w:t>
      </w:r>
    </w:p>
    <w:p>
      <w:pPr>
        <w:pStyle w:val="BodyText"/>
      </w:pPr>
      <w:r>
        <w:t xml:space="preserve">Given that posture, the single highest-leverage control to build first is an adversarial check on</w:t>
      </w:r>
      <w:r>
        <w:t xml:space="preserve"> </w:t>
      </w:r>
      <w:r>
        <w:t xml:space="preserve">whether the tests assert anything. It earns that place because it is the only one that is independent</w:t>
      </w:r>
      <w:r>
        <w:t xml:space="preserve"> </w:t>
      </w:r>
      <w:r>
        <w:t xml:space="preserve">of the author's own confidence -- and the fifth failure mode says confidence is exactly what is</w:t>
      </w:r>
      <w:r>
        <w:t xml:space="preserve"> </w:t>
      </w:r>
      <w:r>
        <w:t xml:space="preserve">unreliable in the self-review 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 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</w:t>
      </w:r>
      <w:r>
        <w:t xml:space="preserve"> </w:t>
      </w:r>
      <w:r>
        <w:t xml:space="preserve">organization owns the decision to deploy.</w:t>
      </w:r>
    </w:p>
    <w:bookmarkEnd w:id="40"/>
    <w:bookmarkStart w:id="41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 </w:t>
      </w:r>
      <w:r>
        <w:t xml:space="preserve">-- an unsigned</w:t>
      </w:r>
      <w:r>
        <w:t xml:space="preserve"> </w:t>
      </w:r>
      <w:r>
        <w:t xml:space="preserve">register is an un-accepted open gap wearing the costume of a decision, and a release gate that leans</w:t>
      </w:r>
      <w:r>
        <w:t xml:space="preserve"> </w:t>
      </w:r>
      <w:r>
        <w:t xml:space="preserve">on one is not a gate. And</w:t>
      </w:r>
      <w:r>
        <w:t xml:space="preserve"> </w:t>
      </w:r>
      <w:r>
        <w:rPr>
          <w:b/>
          <w:bCs/>
        </w:rPr>
        <w:t xml:space="preserve">do not publish the register's contents as a public inventory of which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are currently absent</w:t>
      </w:r>
      <w:r>
        <w:t xml:space="preserve"> </w:t>
      </w:r>
      <w:r>
        <w:t xml:space="preserve">if the software is security-relevant; keep the meta-rule public and</w:t>
      </w:r>
      <w:r>
        <w:t xml:space="preserve"> </w:t>
      </w:r>
      <w:r>
        <w:t xml:space="preserve">the instance internal.</w:t>
      </w:r>
    </w:p>
    <w:bookmarkEnd w:id="41"/>
    <w:bookmarkStart w:id="42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"Assistant-run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 The register mechanics, the honesty taxonomy behind it, and the aligned /</w:t>
      </w:r>
      <w:r>
        <w:t xml:space="preserve"> </w:t>
      </w:r>
      <w:r>
        <w:t xml:space="preserve">built-to / self-assessed vocabulary are all owned by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 are making"</w:t>
      </w:r>
      <w:r>
        <w:t xml:space="preserve"> </w:t>
      </w:r>
      <w:r>
        <w:t xml:space="preserve">-- read that</w:t>
      </w:r>
      <w:r>
        <w:t xml:space="preserve"> </w:t>
      </w:r>
      <w:r>
        <w:t xml:space="preserve">before publishing anything from this document.</w:t>
      </w:r>
    </w:p>
    <w:bookmarkEnd w:id="42"/>
    <w:bookmarkStart w:id="43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  <w:r>
        <w:t xml:space="preserve"> </w:t>
      </w:r>
      <w:r>
        <w:t xml:space="preserve">Where you borrow discipline from a regime you are not subject to, say that</w:t>
      </w:r>
      <w:r>
        <w:t xml:space="preserve"> </w:t>
      </w:r>
      <w:r>
        <w:t xml:space="preserve">it is adopted</w:t>
      </w:r>
      <w:r>
        <w:t xml:space="preserve"> </w:t>
      </w:r>
      <w:r>
        <w:rPr>
          <w:b/>
          <w:bCs/>
        </w:rPr>
        <w:t xml:space="preserve">by analogy and voluntarily</w:t>
      </w:r>
      <w:r>
        <w:t xml:space="preserve">, name the regime you are not subject to, and state</w:t>
      </w:r>
      <w:r>
        <w:t xml:space="preserve"> </w:t>
      </w:r>
      <w:r>
        <w:t xml:space="preserve">that producing the artifacts confers nothing.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7" w:name="Xcf55bd8b8e6be00202ba70d56a4beb5cb22b37f"/>
    <w:p>
      <w:pPr>
        <w:pStyle w:val="Heading2"/>
      </w:pPr>
      <w:r>
        <w:t xml:space="preserve">7. The adversarial verification pass</w:t>
      </w:r>
    </w:p>
    <w:bookmarkStart w:id="46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defect: the context that produced the answer is the context judging it, and it is biased</w:t>
      </w:r>
      <w:r>
        <w:t xml:space="preserve"> </w:t>
      </w:r>
      <w:r>
        <w:t xml:space="preserve">toward what it already decided was fine. More reasoning effort in the same context does not fix this,</w:t>
      </w:r>
      <w:r>
        <w:t xml:space="preserve"> </w:t>
      </w:r>
      <w:r>
        <w:t xml:space="preserve">because the bias is not a shortage of effort.</w:t>
      </w:r>
    </w:p>
    <w:p>
      <w:pPr>
        <w:pStyle w:val="BodyText"/>
      </w:pPr>
      <w:r>
        <w:t xml:space="preserve">The fix has two parts, and both are necessary: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r>
        <w:rPr>
          <w:i/>
          <w:iCs/>
        </w:rPr>
        <w:t xml:space="preserve">"The review pass"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"Make the reviewer execute the citation, not read it"</w:t>
      </w:r>
      <w:r>
        <w:t xml:space="preserve"> </w:t>
      </w:r>
      <w:r>
        <w:t xml:space="preserve">in</w:t>
      </w:r>
      <w:r>
        <w:t xml:space="preserve"> </w:t>
      </w: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46"/>
    <w:bookmarkStart w:id="47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47"/>
    <w:bookmarkStart w:id="48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3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3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3"/>
        </w:numPr>
      </w:pPr>
      <w:r>
        <w:t xml:space="preserve">a synthesis pass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flaws, and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with every fatal flaw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48"/>
    <w:bookmarkStart w:id="49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objection. Carry it</w:t>
      </w:r>
      <w:r>
        <w:t xml:space="preserve"> </w:t>
      </w:r>
      <w:r>
        <w:t xml:space="preserve">forward and resolve it by name. Where a residual risk cannot be closed, document it honestly -- for</w:t>
      </w:r>
      <w:r>
        <w:t xml:space="preserve"> </w:t>
      </w:r>
      <w:r>
        <w:t xml:space="preserve">instance as no worse than the behavior that already ships -- and make it visible rather than</w:t>
      </w:r>
      <w:r>
        <w:t xml:space="preserve"> </w:t>
      </w:r>
      <w:r>
        <w:t xml:space="preserve">claiming it closed. A residual risk that is named survives review; one that is quietly absorbed</w:t>
      </w:r>
      <w:r>
        <w:t xml:space="preserve"> </w:t>
      </w:r>
      <w:r>
        <w:t xml:space="preserve">resurfaces as an incident.</w:t>
      </w:r>
    </w:p>
    <w:bookmarkEnd w:id="49"/>
    <w:bookmarkStart w:id="50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 The residual risk after confirmation is usually not a wrong finding; it is</w:t>
      </w:r>
      <w:r>
        <w:t xml:space="preserve"> </w:t>
      </w:r>
      <w:r>
        <w:t xml:space="preserve">a control implemented exactly where it was prompted and missing at its siblings, which is why control</w:t>
      </w:r>
      <w:r>
        <w:t xml:space="preserve"> </w:t>
      </w:r>
      <w:r>
        <w:t xml:space="preserve">parity is a review gate and not an afterthought.</w:t>
      </w:r>
    </w:p>
    <w:bookmarkEnd w:id="50"/>
    <w:bookmarkStart w:id="51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t xml:space="preserve">The reason it fails on small work is structural rather than economic:</w:t>
      </w:r>
      <w:r>
        <w:t xml:space="preserve"> </w:t>
      </w:r>
      <w:r>
        <w:rPr>
          <w:b/>
          <w:bCs/>
        </w:rPr>
        <w:t xml:space="preserve">fan-out earns its value from</w:t>
      </w:r>
      <w:r>
        <w:rPr>
          <w:b/>
          <w:bCs/>
        </w:rPr>
        <w:t xml:space="preserve"> </w:t>
      </w:r>
      <w:r>
        <w:rPr>
          <w:b/>
          <w:bCs/>
        </w:rPr>
        <w:t xml:space="preserve">coverage across a large surface, and a single-file task has no surface to fan out across.</w:t>
      </w:r>
      <w:r>
        <w:t xml:space="preserve"> </w:t>
      </w:r>
      <w:r>
        <w:t xml:space="preserve">The pass</w:t>
      </w:r>
      <w:r>
        <w:t xml:space="preserve"> </w:t>
      </w:r>
      <w:r>
        <w:t xml:space="preserve">adds latency and burn without improving the result. The corollary is that a targeted, scoped review of</w:t>
      </w:r>
      <w:r>
        <w:t xml:space="preserve"> </w:t>
      </w:r>
      <w:r>
        <w:t xml:space="preserve">a finished change is usually a better instrument than leaving a session-wide maximum-effort setting on.</w:t>
      </w:r>
    </w:p>
    <w:bookmarkEnd w:id="51"/>
    <w:bookmarkStart w:id="53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52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53"/>
    <w:bookmarkStart w:id="56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-- the dependency graph, the loops, the fan-out</w:t>
      </w:r>
      <w:r>
        <w:t xml:space="preserve"> </w:t>
      </w:r>
      <w:r>
        <w:t xml:space="preserve">-- should live in a written script or file that the run follows, not in the conversation that produced</w:t>
      </w:r>
      <w:r>
        <w:t xml:space="preserve"> </w:t>
      </w:r>
      <w:r>
        <w:t xml:space="preserve">it. 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Coordination</w:t>
        </w:r>
      </w:hyperlink>
      <w:r>
        <w:t xml:space="preserve">, and the identifier-collision class that every other control is</w:t>
      </w:r>
      <w:r>
        <w:t xml:space="preserve"> </w:t>
      </w:r>
      <w:r>
        <w:t xml:space="preserve">blind to is owned by</w:t>
      </w:r>
      <w:r>
        <w:t xml:space="preserve"> </w:t>
      </w:r>
      <w:hyperlink r:id="rId55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 coding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 coding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59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7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7"/>
        </w:numPr>
      </w:pPr>
      <w:hyperlink r:id="rId4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7"/>
        </w:numPr>
      </w:pPr>
      <w:hyperlink r:id="rId34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7"/>
        </w:numPr>
      </w:pPr>
      <w:hyperlink r:id="rId3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ASVS-ASSESSMEN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0" Target="../COORDINATION.md" TargetMode="External" /><Relationship Type="http://schemas.openxmlformats.org/officeDocument/2006/relationships/hyperlink" Id="rId14" Target="../LEAK-GATE.md" TargetMode="External" /><Relationship Type="http://schemas.openxmlformats.org/officeDocument/2006/relationships/hyperlink" Id="rId55" Target="../SEQUENCE-ALLOC.md" TargetMode="External" /><Relationship Type="http://schemas.openxmlformats.org/officeDocument/2006/relationships/hyperlink" Id="rId34" Target="../TIPS-AND-TRICKS.md" TargetMode="External" /><Relationship Type="http://schemas.openxmlformats.org/officeDocument/2006/relationships/hyperlink" Id="rId52" Target="../USAGE-AWARENESS.md" TargetMode="External" /><Relationship Type="http://schemas.openxmlformats.org/officeDocument/2006/relationships/hyperlink" Id="rId54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2026-08-06T03:09:50Z</dcterms:created>
  <dcterms:modified xsi:type="dcterms:W3CDTF">2026-08-06T03:09:50Z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