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coding assistants. Here's a two-page guide on what to require they</w:t>
      </w:r>
      <w:r>
        <w:rPr>
          <w:b/>
          <w:bCs/>
        </w:rPr>
        <w:t xml:space="preserve"> </w:t>
      </w:r>
      <w:r>
        <w:rPr>
          <w:b/>
          <w:bCs/>
        </w:rPr>
        <w:t xml:space="preserve">do, and how to tell whether you actually got it.</w:t>
      </w:r>
    </w:p>
    <w:p>
      <w:pPr>
        <w:pStyle w:val="BlockText"/>
      </w:pPr>
      <w:r>
        <w:rPr>
          <w:b/>
          <w:bCs/>
        </w:rPr>
        <w:t xml:space="preserve">This one is written to be read</w:t>
      </w:r>
      <w:r>
        <w:t xml:space="preserve">, and so is</w:t>
      </w:r>
      <w:r>
        <w:t xml:space="preserve"> </w:t>
      </w:r>
      <w:hyperlink r:id="rId9">
        <w:r>
          <w:rPr>
            <w:rStyle w:val="Hyperlink"/>
          </w:rPr>
          <w:t xml:space="preserve">Human review of code</w:t>
        </w:r>
      </w:hyperlink>
      <w:r>
        <w:t xml:space="preserve">. The other</w:t>
      </w:r>
      <w:r>
        <w:t xml:space="preserve"> </w:t>
      </w:r>
      <w:r>
        <w:t xml:space="preserve">standards are denser. Your teams will get through those faster by handing the markdown to Claude</w:t>
      </w:r>
      <w:r>
        <w:t xml:space="preserve"> </w:t>
      </w:r>
      <w:r>
        <w:t xml:space="preserve">Code, or another AI coding assistant, and asking it to summarize or rewrite them against the</w:t>
      </w:r>
      <w:r>
        <w:t xml:space="preserve"> </w:t>
      </w:r>
      <w:r>
        <w:t xml:space="preserve">repository they actually work in.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10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1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authorization,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3"/>
    <w:bookmarkStart w:id="14" w:name="X491d1ee4c0f0221b2754a5058877b7be3649c8a"/>
    <w:p>
      <w:pPr>
        <w:pStyle w:val="Heading2"/>
      </w:pPr>
      <w:r>
        <w:t xml:space="preserve">What actually changes with an AI coding assistant in the loop</w:t>
      </w:r>
    </w:p>
    <w:p>
      <w:pPr>
        <w:pStyle w:val="FirstParagraph"/>
      </w:pPr>
      <w:r>
        <w:t xml:space="preserve">Five failure modes cover it. Every control worth funding neutralizes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4"/>
    <w:bookmarkStart w:id="15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5"/>
    <w:bookmarkStart w:id="16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6"/>
    <w:bookmarkStart w:id="17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7"/>
    <w:bookmarkStart w:id="23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2" Target="OVERVIEW.md#the-files" TargetMode="External" /><Relationship Type="http://schemas.openxmlformats.org/officeDocument/2006/relationships/hyperlink" Id="rId9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2" Target="OVERVIEW.md#the-files" TargetMode="External" /><Relationship Type="http://schemas.openxmlformats.org/officeDocument/2006/relationships/hyperlink" Id="rId9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2026-08-06T03:09:51Z</dcterms:created>
  <dcterms:modified xsi:type="dcterms:W3CDTF">2026-08-06T03:09:51Z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