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in-short"/>
    <w:p>
      <w:pPr>
        <w:pStyle w:val="Heading2"/>
      </w:pPr>
      <w:r>
        <w:t xml:space="preserve">In short</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w:t>
      </w:r>
      <w:r>
        <w:t xml:space="preserve"> </w:t>
      </w:r>
      <w:hyperlink w:anchor="how-this-page-is-organized">
        <w:r>
          <w:rPr>
            <w:rStyle w:val="Hyperlink"/>
          </w:rPr>
          <w:t xml:space="preserve">How this page is organized</w:t>
        </w:r>
      </w:hyperlink>
      <w:r>
        <w:t xml:space="preserve"> </w:t>
      </w:r>
      <w:r>
        <w:t xml:space="preserve">is the map,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how-this-page-is-organized"/>
    <w:p>
      <w:pPr>
        <w:pStyle w:val="Heading2"/>
      </w:pPr>
      <w:r>
        <w:t xml:space="preserve">How this page is organized</w:t>
      </w:r>
    </w:p>
    <w:p>
      <w:pPr>
        <w:pStyle w:val="FirstParagraph"/>
      </w:pPr>
      <w:r>
        <w:t xml:space="preserve">The numbered sections are the rules. What sits before and after them is context for reading them. Subsections are listed under the section that holds them.</w:t>
      </w:r>
    </w:p>
    <w:p>
      <w:pPr>
        <w:pStyle w:val="BodyText"/>
      </w:pPr>
      <w:hyperlink w:anchor="in-short">
        <w:r>
          <w:rPr>
            <w:rStyle w:val="Hyperlink"/>
          </w:rPr>
          <w:t xml:space="preserve">In short</w:t>
        </w:r>
      </w:hyperlink>
      <w:r>
        <w:t xml:space="preserve"> </w:t>
      </w:r>
      <w:r>
        <w:t xml:space="preserve">--</w:t>
      </w:r>
      <w:r>
        <w:t xml:space="preserve"> </w:t>
      </w:r>
      <w:hyperlink w:anchor="what-you-get">
        <w:r>
          <w:rPr>
            <w:rStyle w:val="Hyperlink"/>
          </w:rPr>
          <w:t xml:space="preserve">What you get</w:t>
        </w:r>
      </w:hyperlink>
      <w:r>
        <w:t xml:space="preserve"> </w:t>
      </w:r>
      <w:r>
        <w:t xml:space="preserve">--</w:t>
      </w:r>
      <w:r>
        <w:t xml:space="preserve"> </w:t>
      </w:r>
      <w:hyperlink w:anchor="what-this-costs-you">
        <w:r>
          <w:rPr>
            <w:rStyle w:val="Hyperlink"/>
          </w:rPr>
          <w:t xml:space="preserve">What this costs you</w:t>
        </w:r>
      </w:hyperlink>
      <w:r>
        <w:t xml:space="preserve"> </w:t>
      </w:r>
      <w:r>
        <w:t xml:space="preserve">--</w:t>
      </w:r>
      <w:r>
        <w:t xml:space="preserve"> </w:t>
      </w:r>
      <w:hyperlink w:anchor="how-to-adopt-this">
        <w:r>
          <w:rPr>
            <w:rStyle w:val="Hyperlink"/>
          </w:rPr>
          <w:t xml:space="preserve">How to adopt this</w:t>
        </w:r>
      </w:hyperlink>
      <w:r>
        <w:t xml:space="preserve"> </w:t>
      </w:r>
      <w:r>
        <w:t xml:space="preserve">--</w:t>
      </w:r>
      <w:r>
        <w:t xml:space="preserve"> </w:t>
      </w:r>
      <w:hyperlink w:anchor="X72e8a7b0eb017be1b6be4ce9a7aa4c29f34647f">
        <w:r>
          <w:rPr>
            <w:rStyle w:val="Hyperlink"/>
          </w:rPr>
          <w:t xml:space="preserve">The shape: two layers, and the second is where the defects are</w:t>
        </w:r>
      </w:hyperlink>
    </w:p>
    <w:p>
      <w:pPr>
        <w:pStyle w:val="Compact"/>
        <w:numPr>
          <w:ilvl w:val="0"/>
          <w:numId w:val="1001"/>
        </w:numPr>
      </w:pPr>
      <w:r>
        <w:t xml:space="preserve">Under</w:t>
      </w:r>
      <w:r>
        <w:t xml:space="preserve"> </w:t>
      </w:r>
      <w:hyperlink w:anchor="what-this-costs-you">
        <w:r>
          <w:rPr>
            <w:rStyle w:val="Hyperlink"/>
          </w:rPr>
          <w:t xml:space="preserve">What this costs you</w:t>
        </w:r>
      </w:hyperlink>
      <w:r>
        <w:t xml:space="preserve">:</w:t>
      </w:r>
      <w:r>
        <w:t xml:space="preserve"> </w:t>
      </w:r>
      <w:hyperlink w:anchor="where-this-does-not-apply">
        <w:r>
          <w:rPr>
            <w:rStyle w:val="Hyperlink"/>
          </w:rPr>
          <w:t xml:space="preserve">Where this does not apply</w:t>
        </w:r>
      </w:hyperlink>
    </w:p>
    <w:p>
      <w:pPr>
        <w:pStyle w:val="Compact"/>
        <w:numPr>
          <w:ilvl w:val="0"/>
          <w:numId w:val="1002"/>
        </w:numPr>
      </w:pPr>
      <w:hyperlink w:anchor="Xf8794b0126bc78285fb10778097a0695650e57d">
        <w:r>
          <w:rPr>
            <w:rStyle w:val="Hyperlink"/>
          </w:rPr>
          <w:t xml:space="preserve">Shared responsibility: write the split down first</w:t>
        </w:r>
      </w:hyperlink>
    </w:p>
    <w:p>
      <w:pPr>
        <w:pStyle w:val="Compact"/>
        <w:numPr>
          <w:ilvl w:val="1"/>
          <w:numId w:val="1003"/>
        </w:numPr>
      </w:pPr>
      <w:hyperlink w:anchor="X4ca1e2b74cbf9e5a534c776f2934c8292145685">
        <w:r>
          <w:rPr>
            <w:rStyle w:val="Hyperlink"/>
          </w:rPr>
          <w:t xml:space="preserve">The third participant: services neither column owns</w:t>
        </w:r>
      </w:hyperlink>
      <w:r>
        <w:t xml:space="preserve"> </w:t>
      </w:r>
      <w:r>
        <w:t xml:space="preserve">--</w:t>
      </w:r>
      <w:r>
        <w:t xml:space="preserve"> </w:t>
      </w:r>
      <w:hyperlink w:anchor="X5d46b3bfadc8b2b87d8791de125bb6253b37e18">
        <w:r>
          <w:rPr>
            <w:rStyle w:val="Hyperlink"/>
          </w:rPr>
          <w:t xml:space="preserve">What "restricted data" means here, exactly once</w:t>
        </w:r>
      </w:hyperlink>
    </w:p>
    <w:p>
      <w:pPr>
        <w:pStyle w:val="Compact"/>
        <w:numPr>
          <w:ilvl w:val="0"/>
          <w:numId w:val="1002"/>
        </w:numPr>
      </w:pPr>
      <w:hyperlink w:anchor="Xac02c7d32d5bb277c9e44f3436addfe1b1747df">
        <w:r>
          <w:rPr>
            <w:rStyle w:val="Hyperlink"/>
          </w:rPr>
          <w:t xml:space="preserve">Threat model each trust boundary before you build it</w:t>
        </w:r>
      </w:hyperlink>
    </w:p>
    <w:p>
      <w:pPr>
        <w:pStyle w:val="Compact"/>
        <w:numPr>
          <w:ilvl w:val="1"/>
          <w:numId w:val="1004"/>
        </w:numPr>
      </w:pPr>
      <w:hyperlink w:anchor="Xbe20b8a6bd9af0d1e04ce040fc03c6beb08f178">
        <w:r>
          <w:rPr>
            <w:rStyle w:val="Hyperlink"/>
          </w:rPr>
          <w:t xml:space="preserve">A diagram without marked trust boundaries is not a security artifact</w:t>
        </w:r>
      </w:hyperlink>
      <w:r>
        <w:t xml:space="preserve"> </w:t>
      </w:r>
      <w:r>
        <w:t xml:space="preserve">--</w:t>
      </w:r>
      <w:r>
        <w:t xml:space="preserve"> </w:t>
      </w:r>
      <w:hyperlink w:anchor="Xe95926782a39bd4a0ad092566161170b8cb2e98">
        <w:r>
          <w:rPr>
            <w:rStyle w:val="Hyperlink"/>
          </w:rPr>
          <w:t xml:space="preserve">Execution boundaries need the longest look</w:t>
        </w:r>
      </w:hyperlink>
    </w:p>
    <w:p>
      <w:pPr>
        <w:pStyle w:val="Compact"/>
        <w:numPr>
          <w:ilvl w:val="0"/>
          <w:numId w:val="1002"/>
        </w:numPr>
      </w:pPr>
      <w:hyperlink w:anchor="X856bc933e26f1c9456cb19e64981d263d6663dc">
        <w:r>
          <w:rPr>
            <w:rStyle w:val="Hyperlink"/>
          </w:rPr>
          <w:t xml:space="preserve">Secure coding: the finite list a review can check</w:t>
        </w:r>
      </w:hyperlink>
    </w:p>
    <w:p>
      <w:pPr>
        <w:pStyle w:val="Compact"/>
        <w:numPr>
          <w:ilvl w:val="0"/>
          <w:numId w:val="1002"/>
        </w:numPr>
      </w:pPr>
      <w:hyperlink w:anchor="Xd0d2e3c2022a6968f9346992769e0293d735ca2">
        <w:r>
          <w:rPr>
            <w:rStyle w:val="Hyperlink"/>
          </w:rPr>
          <w:t xml:space="preserve">Review, and what to do when there is no second reviewer</w:t>
        </w:r>
      </w:hyperlink>
    </w:p>
    <w:p>
      <w:pPr>
        <w:pStyle w:val="Compact"/>
        <w:numPr>
          <w:ilvl w:val="1"/>
          <w:numId w:val="1005"/>
        </w:numPr>
      </w:pPr>
      <w:hyperlink w:anchor="X201f980f972ea0e4b6566ffddea29bd74691ffd">
        <w:r>
          <w:rPr>
            <w:rStyle w:val="Hyperlink"/>
          </w:rPr>
          <w:t xml:space="preserve">Self-review is a documented deviation, not a satisfied control</w:t>
        </w:r>
      </w:hyperlink>
      <w:r>
        <w:t xml:space="preserve"> </w:t>
      </w:r>
      <w:r>
        <w:t xml:space="preserve">--</w:t>
      </w:r>
      <w:r>
        <w:t xml:space="preserve"> </w:t>
      </w:r>
      <w:hyperlink w:anchor="Xd0ccc971424be3bfc158f34270074304d1beac4">
        <w:r>
          <w:rPr>
            <w:rStyle w:val="Hyperlink"/>
          </w:rPr>
          <w:t xml:space="preserve">The confidence effect bites hardest in self-review</w:t>
        </w:r>
      </w:hyperlink>
      <w:r>
        <w:t xml:space="preserve"> </w:t>
      </w:r>
      <w:r>
        <w:t xml:space="preserve">--</w:t>
      </w:r>
      <w:r>
        <w:t xml:space="preserve"> </w:t>
      </w:r>
      <w:hyperlink w:anchor="X8df9a15527c9258113a544c92aa72dbd7dd03b7">
        <w:r>
          <w:rPr>
            <w:rStyle w:val="Hyperlink"/>
          </w:rPr>
          <w:t xml:space="preserve">The comprehension bar, and two additions to it</w:t>
        </w:r>
      </w:hyperlink>
    </w:p>
    <w:p>
      <w:pPr>
        <w:pStyle w:val="Compact"/>
        <w:numPr>
          <w:ilvl w:val="0"/>
          <w:numId w:val="1002"/>
        </w:numPr>
      </w:pPr>
      <w:hyperlink w:anchor="Xa04daca1c49463ed52ff2475309af2fe8799704">
        <w:r>
          <w:rPr>
            <w:rStyle w:val="Hyperlink"/>
          </w:rPr>
          <w:t xml:space="preserve">Scanner posture: what blocks, what advises, what may never be waived</w:t>
        </w:r>
      </w:hyperlink>
    </w:p>
    <w:p>
      <w:pPr>
        <w:pStyle w:val="Compact"/>
        <w:numPr>
          <w:ilvl w:val="1"/>
          <w:numId w:val="1006"/>
        </w:numPr>
      </w:pPr>
      <w:hyperlink w:anchor="what-must-block-and-may-not-be-waived">
        <w:r>
          <w:rPr>
            <w:rStyle w:val="Hyperlink"/>
          </w:rPr>
          <w:t xml:space="preserve">What must block, and may not be waived</w:t>
        </w:r>
      </w:hyperlink>
      <w:r>
        <w:t xml:space="preserve"> </w:t>
      </w:r>
      <w:r>
        <w:t xml:space="preserve">--</w:t>
      </w:r>
      <w:r>
        <w:t xml:space="preserve"> </w:t>
      </w:r>
      <w:hyperlink w:anchor="X528d297cbcf16dcf6f2bd452949bcc76bc0bc37">
        <w:r>
          <w:rPr>
            <w:rStyle w:val="Hyperlink"/>
          </w:rPr>
          <w:t xml:space="preserve">Dynamic testing: an event trigger, and a written record of what no trigger reached</w:t>
        </w:r>
      </w:hyperlink>
      <w:r>
        <w:t xml:space="preserve"> </w:t>
      </w:r>
      <w:r>
        <w:t xml:space="preserve">--</w:t>
      </w:r>
      <w:r>
        <w:t xml:space="preserve"> </w:t>
      </w:r>
      <w:hyperlink w:anchor="X8e84579fd545af19ab8cb79c93491972da372eb">
        <w:r>
          <w:rPr>
            <w:rStyle w:val="Hyperlink"/>
          </w:rPr>
          <w:t xml:space="preserve">Three additions specific to a security posture</w:t>
        </w:r>
      </w:hyperlink>
      <w:r>
        <w:t xml:space="preserve"> </w:t>
      </w:r>
      <w:r>
        <w:t xml:space="preserve">--</w:t>
      </w:r>
      <w:r>
        <w:t xml:space="preserve"> </w:t>
      </w:r>
      <w:hyperlink w:anchor="the-security-anti-metrics">
        <w:r>
          <w:rPr>
            <w:rStyle w:val="Hyperlink"/>
          </w:rPr>
          <w:t xml:space="preserve">The security anti-metrics</w:t>
        </w:r>
      </w:hyperlink>
    </w:p>
    <w:p>
      <w:pPr>
        <w:pStyle w:val="Compact"/>
        <w:numPr>
          <w:ilvl w:val="0"/>
          <w:numId w:val="1002"/>
        </w:numPr>
      </w:pPr>
      <w:hyperlink w:anchor="X008abd79804448b13ff485fe9ff5830c953e411">
        <w:r>
          <w:rPr>
            <w:rStyle w:val="Hyperlink"/>
          </w:rPr>
          <w:t xml:space="preserve">Secrets and repository hygiene</w:t>
        </w:r>
      </w:hyperlink>
    </w:p>
    <w:p>
      <w:pPr>
        <w:pStyle w:val="Compact"/>
        <w:numPr>
          <w:ilvl w:val="0"/>
          <w:numId w:val="1002"/>
        </w:numPr>
      </w:pPr>
      <w:hyperlink w:anchor="X14e6323bcf6e9b0e8faa6bdd21b76d13cd211dd">
        <w:r>
          <w:rPr>
            <w:rStyle w:val="Hyperlink"/>
          </w:rPr>
          <w:t xml:space="preserve">Secure defaults, and the opt-in that must be explicit</w:t>
        </w:r>
      </w:hyperlink>
    </w:p>
    <w:p>
      <w:pPr>
        <w:pStyle w:val="Compact"/>
        <w:numPr>
          <w:ilvl w:val="1"/>
          <w:numId w:val="1007"/>
        </w:numPr>
      </w:pPr>
      <w:hyperlink w:anchor="Xb97d7c0c1ae0709af64fd2b41a96e8b87e7072c">
        <w:r>
          <w:rPr>
            <w:rStyle w:val="Hyperlink"/>
          </w:rPr>
          <w:t xml:space="preserve">Synthetic data by default in anything that is not production</w:t>
        </w:r>
      </w:hyperlink>
      <w:r>
        <w:t xml:space="preserve"> </w:t>
      </w:r>
      <w:r>
        <w:t xml:space="preserve">--</w:t>
      </w:r>
      <w:r>
        <w:t xml:space="preserve"> </w:t>
      </w:r>
      <w:hyperlink w:anchor="X4eda1cea0fbf2b691f9051769e165ce2d910452">
        <w:r>
          <w:rPr>
            <w:rStyle w:val="Hyperlink"/>
          </w:rPr>
          <w:t xml:space="preserve">Rate a collection by the highest class it holds</w:t>
        </w:r>
      </w:hyperlink>
    </w:p>
    <w:p>
      <w:pPr>
        <w:pStyle w:val="Compact"/>
        <w:numPr>
          <w:ilvl w:val="0"/>
          <w:numId w:val="1002"/>
        </w:numPr>
      </w:pPr>
      <w:hyperlink w:anchor="X08c545cdaea16d13c66d050a73fae11a3e2b4eb">
        <w:r>
          <w:rPr>
            <w:rStyle w:val="Hyperlink"/>
          </w:rPr>
          <w:t xml:space="preserve">Machine-to-machine authentication</w:t>
        </w:r>
      </w:hyperlink>
    </w:p>
    <w:p>
      <w:pPr>
        <w:pStyle w:val="Compact"/>
        <w:numPr>
          <w:ilvl w:val="1"/>
          <w:numId w:val="1008"/>
        </w:numPr>
      </w:pPr>
      <w:hyperlink w:anchor="X3d7ee481263114e250585e60a9d5c13e5a28baf">
        <w:r>
          <w:rPr>
            <w:rStyle w:val="Hyperlink"/>
          </w:rPr>
          <w:t xml:space="preserve">Service accounts: no long-lived secret in a file</w:t>
        </w:r>
      </w:hyperlink>
    </w:p>
    <w:p>
      <w:pPr>
        <w:pStyle w:val="Compact"/>
        <w:numPr>
          <w:ilvl w:val="0"/>
          <w:numId w:val="1002"/>
        </w:numPr>
      </w:pPr>
      <w:hyperlink w:anchor="X11a9cb1723e5b511bbccf75d2588530cdcc5b38">
        <w:r>
          <w:rPr>
            <w:rStyle w:val="Hyperlink"/>
          </w:rPr>
          <w:t xml:space="preserve">Tamper-evident audit logging</w:t>
        </w:r>
      </w:hyperlink>
    </w:p>
    <w:p>
      <w:pPr>
        <w:pStyle w:val="Compact"/>
        <w:numPr>
          <w:ilvl w:val="1"/>
          <w:numId w:val="1009"/>
        </w:numPr>
      </w:pPr>
      <w:hyperlink w:anchor="X592ab2cc59a074e35b688ecba31d6bf75ef08fd">
        <w:r>
          <w:rPr>
            <w:rStyle w:val="Hyperlink"/>
          </w:rPr>
          <w:t xml:space="preserve">What happens when the log cannot be written</w:t>
        </w:r>
      </w:hyperlink>
      <w:r>
        <w:t xml:space="preserve"> </w:t>
      </w:r>
      <w:r>
        <w:t xml:space="preserve">--</w:t>
      </w:r>
      <w:r>
        <w:t xml:space="preserve"> </w:t>
      </w:r>
      <w:hyperlink w:anchor="X4cc549780cd7e61d6d0628e1c196c335036c46e">
        <w:r>
          <w:rPr>
            <w:rStyle w:val="Hyperlink"/>
          </w:rPr>
          <w:t xml:space="preserve">Ship the review affordance; the cadence is not yours</w:t>
        </w:r>
      </w:hyperlink>
    </w:p>
    <w:p>
      <w:pPr>
        <w:pStyle w:val="Compact"/>
        <w:numPr>
          <w:ilvl w:val="0"/>
          <w:numId w:val="1002"/>
        </w:numPr>
      </w:pPr>
      <w:hyperlink w:anchor="X48eebdbfd8d38cb086e115614d17c7297664944">
        <w:r>
          <w:rPr>
            <w:rStyle w:val="Hyperlink"/>
          </w:rPr>
          <w:t xml:space="preserve">Build and release integrity</w:t>
        </w:r>
      </w:hyperlink>
    </w:p>
    <w:p>
      <w:pPr>
        <w:pStyle w:val="Compact"/>
        <w:numPr>
          <w:ilvl w:val="0"/>
          <w:numId w:val="1010"/>
        </w:numPr>
      </w:pPr>
      <w:hyperlink w:anchor="X0962a595a15c980cbc426c4ee953da82dbc2640">
        <w:r>
          <w:rPr>
            <w:rStyle w:val="Hyperlink"/>
          </w:rPr>
          <w:t xml:space="preserve">Where the build runs, and who can change it</w:t>
        </w:r>
      </w:hyperlink>
      <w:r>
        <w:t xml:space="preserve"> </w:t>
      </w:r>
      <w:r>
        <w:t xml:space="preserve">--</w:t>
      </w:r>
      <w:r>
        <w:t xml:space="preserve"> </w:t>
      </w:r>
      <w:hyperlink w:anchor="Xca148109ff5f44572641d020555735042fe03e4">
        <w:r>
          <w:rPr>
            <w:rStyle w:val="Hyperlink"/>
          </w:rPr>
          <w:t xml:space="preserve">Publishing controls, and the limit each one carries</w:t>
        </w:r>
      </w:hyperlink>
      <w:r>
        <w:t xml:space="preserve"> </w:t>
      </w:r>
      <w:r>
        <w:t xml:space="preserve">--</w:t>
      </w:r>
      <w:r>
        <w:t xml:space="preserve"> </w:t>
      </w:r>
      <w:hyperlink w:anchor="Xe1acf8bcb72e6c414f95b924737381b6debc42f">
        <w:r>
          <w:rPr>
            <w:rStyle w:val="Hyperlink"/>
          </w:rPr>
          <w:t xml:space="preserve">What an adopter can verify without contacting you</w:t>
        </w:r>
      </w:hyperlink>
      <w:r>
        <w:t xml:space="preserve"> </w:t>
      </w:r>
      <w:r>
        <w:t xml:space="preserve">--</w:t>
      </w:r>
      <w:r>
        <w:t xml:space="preserve"> </w:t>
      </w:r>
      <w:hyperlink w:anchor="Xc32df6696e9411929dcc3ab12f3985f03bc5873">
        <w:r>
          <w:rPr>
            <w:rStyle w:val="Hyperlink"/>
          </w:rPr>
          <w:t xml:space="preserve">Obfuscation is not the control you are looking for</w:t>
        </w:r>
      </w:hyperlink>
    </w:p>
    <w:p>
      <w:pPr>
        <w:pStyle w:val="Compact"/>
        <w:numPr>
          <w:ilvl w:val="0"/>
          <w:numId w:val="1011"/>
        </w:numPr>
      </w:pPr>
      <w:hyperlink w:anchor="X254797a2ada8f8185b1c8b4abb87efa09aeaec0">
        <w:r>
          <w:rPr>
            <w:rStyle w:val="Hyperlink"/>
          </w:rPr>
          <w:t xml:space="preserve">Runtime tamper resistance, and the bootstrap-trust limit</w:t>
        </w:r>
      </w:hyperlink>
    </w:p>
    <w:p>
      <w:pPr>
        <w:pStyle w:val="Compact"/>
        <w:numPr>
          <w:ilvl w:val="0"/>
          <w:numId w:val="1012"/>
        </w:numPr>
      </w:pPr>
      <w:hyperlink w:anchor="X03039a66da44c7154d14d988511a9288cf0ecd3">
        <w:r>
          <w:rPr>
            <w:rStyle w:val="Hyperlink"/>
          </w:rPr>
          <w:t xml:space="preserve">Operator-owned hardening: document and recommend, never claim</w:t>
        </w:r>
      </w:hyperlink>
      <w:r>
        <w:t xml:space="preserve"> </w:t>
      </w:r>
      <w:r>
        <w:t xml:space="preserve">--</w:t>
      </w:r>
      <w:r>
        <w:t xml:space="preserve"> </w:t>
      </w:r>
      <w:hyperlink w:anchor="X438150f8dfc89784d5bd3543f347a17625c0f0c">
        <w:r>
          <w:rPr>
            <w:rStyle w:val="Hyperlink"/>
          </w:rPr>
          <w:t xml:space="preserve">Roll out a blocking verification control in audit mode first</w:t>
        </w:r>
      </w:hyperlink>
    </w:p>
    <w:p>
      <w:pPr>
        <w:pStyle w:val="Compact"/>
        <w:numPr>
          <w:ilvl w:val="0"/>
          <w:numId w:val="1013"/>
        </w:numPr>
      </w:pPr>
      <w:hyperlink w:anchor="Xc32b009c31e5f6409196a95ed4c1406da6dc82b">
        <w:r>
          <w:rPr>
            <w:rStyle w:val="Hyperlink"/>
          </w:rPr>
          <w:t xml:space="preserve">Vulnerability response, exercised</w:t>
        </w:r>
      </w:hyperlink>
    </w:p>
    <w:p>
      <w:pPr>
        <w:pStyle w:val="Compact"/>
        <w:numPr>
          <w:ilvl w:val="0"/>
          <w:numId w:val="1014"/>
        </w:numPr>
      </w:pPr>
      <w:hyperlink w:anchor="what-actually-closes-a-finding">
        <w:r>
          <w:rPr>
            <w:rStyle w:val="Hyperlink"/>
          </w:rPr>
          <w:t xml:space="preserve">What actually closes a finding</w:t>
        </w:r>
      </w:hyperlink>
      <w:r>
        <w:t xml:space="preserve"> </w:t>
      </w:r>
      <w:r>
        <w:t xml:space="preserve">--</w:t>
      </w:r>
      <w:r>
        <w:t xml:space="preserve"> </w:t>
      </w:r>
      <w:hyperlink w:anchor="X8d72319090a80d3626098f71df57004d8b137c9">
        <w:r>
          <w:rPr>
            <w:rStyle w:val="Hyperlink"/>
          </w:rPr>
          <w:t xml:space="preserve">The producer half: an intake a reporter can find, and an advisory a tool can read</w:t>
        </w:r>
      </w:hyperlink>
    </w:p>
    <w:p>
      <w:pPr>
        <w:pStyle w:val="Compact"/>
        <w:numPr>
          <w:ilvl w:val="0"/>
          <w:numId w:val="1015"/>
        </w:numPr>
      </w:pPr>
      <w:hyperlink w:anchor="X2e76d4b347a06a9540373165195f11ae36f497b">
        <w:r>
          <w:rPr>
            <w:rStyle w:val="Hyperlink"/>
          </w:rPr>
          <w:t xml:space="preserve">Deviations and risk acceptance</w:t>
        </w:r>
      </w:hyperlink>
    </w:p>
    <w:p>
      <w:pPr>
        <w:pStyle w:val="Compact"/>
        <w:numPr>
          <w:ilvl w:val="0"/>
          <w:numId w:val="1015"/>
        </w:numPr>
      </w:pPr>
      <w:hyperlink w:anchor="X81f17fbbfa4ed8bd23a7201a27e52cc85d71859">
        <w:r>
          <w:rPr>
            <w:rStyle w:val="Hyperlink"/>
          </w:rPr>
          <w:t xml:space="preserve">Re-evaluate on a trigger, and on a short calendar for what has no trigger</w:t>
        </w:r>
      </w:hyperlink>
    </w:p>
    <w:p>
      <w:pPr>
        <w:pStyle w:val="Compact"/>
        <w:numPr>
          <w:ilvl w:val="0"/>
          <w:numId w:val="1015"/>
        </w:numPr>
      </w:pPr>
      <w:hyperlink w:anchor="X635127d1d4d4de93cff91f98240bebbfa4bd556">
        <w:r>
          <w:rPr>
            <w:rStyle w:val="Hyperlink"/>
          </w:rPr>
          <w:t xml:space="preserve">Independent external verification</w:t>
        </w:r>
      </w:hyperlink>
    </w:p>
    <w:p>
      <w:pPr>
        <w:pStyle w:val="Compact"/>
        <w:numPr>
          <w:ilvl w:val="0"/>
          <w:numId w:val="1016"/>
        </w:numPr>
      </w:pPr>
      <w:hyperlink w:anchor="X8b98e4f88d127ae6f6acda887bb5aa503179c3d">
        <w:r>
          <w:rPr>
            <w:rStyle w:val="Hyperlink"/>
          </w:rPr>
          <w:t xml:space="preserve">Write the engagement down before it starts</w:t>
        </w:r>
      </w:hyperlink>
    </w:p>
    <w:p>
      <w:pPr>
        <w:pStyle w:val="Compact"/>
        <w:numPr>
          <w:ilvl w:val="0"/>
          <w:numId w:val="1017"/>
        </w:numPr>
      </w:pPr>
      <w:hyperlink w:anchor="X166d910d570b75bb8e35866cbb9a8eb190f1767">
        <w:r>
          <w:rPr>
            <w:rStyle w:val="Hyperlink"/>
          </w:rPr>
          <w:t xml:space="preserve">The release gate</w:t>
        </w:r>
      </w:hyperlink>
    </w:p>
    <w:p>
      <w:pPr>
        <w:pStyle w:val="Compact"/>
        <w:numPr>
          <w:ilvl w:val="0"/>
          <w:numId w:val="1018"/>
        </w:numPr>
      </w:pPr>
      <w:hyperlink w:anchor="X6bf3214004d99c2dac31ed30d2dbee672c0e4ba">
        <w:r>
          <w:rPr>
            <w:rStyle w:val="Hyperlink"/>
          </w:rPr>
          <w:t xml:space="preserve">Confirm the control plane before reading any code</w:t>
        </w:r>
      </w:hyperlink>
    </w:p>
    <w:p>
      <w:pPr>
        <w:pStyle w:val="Compact"/>
        <w:numPr>
          <w:ilvl w:val="0"/>
          <w:numId w:val="1019"/>
        </w:numPr>
      </w:pPr>
      <w:hyperlink w:anchor="Xd93b41aba76cd6464a6e694c5ed1cd30484ae10">
        <w:r>
          <w:rPr>
            <w:rStyle w:val="Hyperlink"/>
          </w:rPr>
          <w:t xml:space="preserve">What you may claim</w:t>
        </w:r>
      </w:hyperlink>
    </w:p>
    <w:p>
      <w:pPr>
        <w:pStyle w:val="FirstParagraph"/>
      </w:pPr>
      <w:hyperlink w:anchor="in-one-table">
        <w:r>
          <w:rPr>
            <w:rStyle w:val="Hyperlink"/>
          </w:rPr>
          <w:t xml:space="preserve">In one table</w:t>
        </w:r>
      </w:hyperlink>
      <w:r>
        <w:t xml:space="preserve"> </w:t>
      </w:r>
      <w:r>
        <w:t xml:space="preserve">--</w:t>
      </w:r>
      <w:r>
        <w:t xml:space="preserve"> </w:t>
      </w:r>
      <w:hyperlink w:anchor="adapting-this-to-your-project">
        <w:r>
          <w:rPr>
            <w:rStyle w:val="Hyperlink"/>
          </w:rPr>
          <w:t xml:space="preserve">Adapting this to your project</w:t>
        </w:r>
      </w:hyperlink>
      <w:r>
        <w:t xml:space="preserve"> </w:t>
      </w:r>
      <w:r>
        <w:t xml:space="preserve">--</w:t>
      </w:r>
      <w:r>
        <w:t xml:space="preserve"> </w:t>
      </w:r>
      <w:hyperlink w:anchor="where-the-rules-come-from">
        <w:r>
          <w:rPr>
            <w:rStyle w:val="Hyperlink"/>
          </w:rPr>
          <w:t xml:space="preserve">Where the rules come from</w:t>
        </w:r>
      </w:hyperlink>
      <w:r>
        <w:t xml:space="preserve"> </w:t>
      </w:r>
      <w:r>
        <w:t xml:space="preserve">--</w:t>
      </w:r>
      <w:r>
        <w:t xml:space="preserve"> </w:t>
      </w:r>
      <w:hyperlink w:anchor="Xd58ae4afd9eb69dfedf0e7d438c304043b8423d">
        <w:r>
          <w:rPr>
            <w:rStyle w:val="Hyperlink"/>
          </w:rPr>
          <w:t xml:space="preserve">What this document does not take from a control catalog</w:t>
        </w:r>
      </w:hyperlink>
      <w:r>
        <w:t xml:space="preserve"> </w:t>
      </w:r>
      <w:r>
        <w:t xml:space="preserve">--</w:t>
      </w:r>
      <w:r>
        <w:t xml:space="preserve"> </w:t>
      </w:r>
      <w:hyperlink w:anchor="sources">
        <w:r>
          <w:rPr>
            <w:rStyle w:val="Hyperlink"/>
          </w:rPr>
          <w:t xml:space="preserve">Sources</w:t>
        </w:r>
      </w:hyperlink>
      <w:r>
        <w:t xml:space="preserve"> </w:t>
      </w:r>
      <w:r>
        <w:t xml:space="preserve">--</w:t>
      </w:r>
      <w:r>
        <w:t xml:space="preserve"> </w:t>
      </w:r>
      <w:hyperlink w:anchor="related">
        <w:r>
          <w:rPr>
            <w:rStyle w:val="Hyperlink"/>
          </w:rPr>
          <w:t xml:space="preserve">Related</w:t>
        </w:r>
      </w:hyperlink>
    </w:p>
    <w:p>
      <w:pPr>
        <w:pStyle w:val="Compact"/>
        <w:numPr>
          <w:ilvl w:val="0"/>
          <w:numId w:val="1020"/>
        </w:numPr>
      </w:pPr>
      <w:r>
        <w:t xml:space="preserve">Under</w:t>
      </w:r>
      <w:r>
        <w:t xml:space="preserve"> </w:t>
      </w:r>
      <w:hyperlink w:anchor="where-the-rules-come-from">
        <w:r>
          <w:rPr>
            <w:rStyle w:val="Hyperlink"/>
          </w:rPr>
          <w:t xml:space="preserve">Where the rules come from</w:t>
        </w:r>
      </w:hyperlink>
      <w:r>
        <w:t xml:space="preserve">:</w:t>
      </w:r>
      <w:r>
        <w:t xml:space="preserve"> </w:t>
      </w:r>
      <w:hyperlink w:anchor="X5b2ad23c17e6a7879b324e7c1327c9b143e390c">
        <w:r>
          <w:rPr>
            <w:rStyle w:val="Hyperlink"/>
          </w:rPr>
          <w:t xml:space="preserve">Full conformance is not on offer, so tailoring is not a compromise</w:t>
        </w:r>
      </w:hyperlink>
      <w:r>
        <w:t xml:space="preserve"> </w:t>
      </w:r>
      <w:r>
        <w:t xml:space="preserve">--</w:t>
      </w:r>
      <w:r>
        <w:t xml:space="preserve"> </w:t>
      </w:r>
      <w:hyperlink w:anchor="X801905d3ca07527c679b1d09a0936ad61121075">
        <w:r>
          <w:rPr>
            <w:rStyle w:val="Hyperlink"/>
          </w:rPr>
          <w:t xml:space="preserve">The one setting where such a claim is a legal instrument, and its expiry date</w:t>
        </w:r>
      </w:hyperlink>
    </w:p>
    <w:p>
      <w:r>
        <w:pict>
          <v:rect style="width:0;height:1.5pt" o:hralign="center" o:hrstd="t" o:hr="t"/>
        </w:pict>
      </w:r>
    </w:p>
    <w:bookmarkEnd w:id="13"/>
    <w:bookmarkStart w:id="14" w:name="what-you-get"/>
    <w:p>
      <w:pPr>
        <w:pStyle w:val="Heading2"/>
      </w:pPr>
      <w:r>
        <w:t xml:space="preserve">What you get</w:t>
      </w:r>
    </w:p>
    <w:p>
      <w:pPr>
        <w:pStyle w:val="Compact"/>
        <w:numPr>
          <w:ilvl w:val="0"/>
          <w:numId w:val="1021"/>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21"/>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21"/>
        </w:numPr>
      </w:pPr>
      <w:r>
        <w:t xml:space="preserve">A finite secure-coding list. A reviewer, human or automated, gets a bounded set of questions</w:t>
      </w:r>
      <w:r>
        <w:t xml:space="preserve"> </w:t>
      </w:r>
      <w:r>
        <w:t xml:space="preserve">instead of an unanswerable one.</w:t>
      </w:r>
    </w:p>
    <w:p>
      <w:pPr>
        <w:pStyle w:val="Compact"/>
        <w:numPr>
          <w:ilvl w:val="0"/>
          <w:numId w:val="1021"/>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21"/>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21"/>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21"/>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21"/>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4"/>
    <w:bookmarkStart w:id="16" w:name="what-this-costs-you"/>
    <w:p>
      <w:pPr>
        <w:pStyle w:val="Heading2"/>
      </w:pPr>
      <w:r>
        <w:t xml:space="preserve">What this costs you</w:t>
      </w:r>
    </w:p>
    <w:p>
      <w:pPr>
        <w:pStyle w:val="Compact"/>
        <w:numPr>
          <w:ilvl w:val="0"/>
          <w:numId w:val="1022"/>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22"/>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22"/>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22"/>
        </w:numPr>
      </w:pPr>
      <w:r>
        <w:t xml:space="preserve">No code ships with this. No workflow, no scanner configuration, no template. The mechanics</w:t>
      </w:r>
      <w:r>
        <w:t xml:space="preserve"> </w:t>
      </w:r>
      <w:r>
        <w:t xml:space="preserve">below are described so you can build them where you already run checks.</w:t>
      </w:r>
    </w:p>
    <w:bookmarkStart w:id="15" w:name="where-this-does-not-apply"/>
    <w:p>
      <w:pPr>
        <w:pStyle w:val="Heading3"/>
      </w:pPr>
      <w:r>
        <w:t xml:space="preserve">Where this does not apply</w:t>
      </w:r>
    </w:p>
    <w:p>
      <w:pPr>
        <w:pStyle w:val="Compact"/>
        <w:numPr>
          <w:ilvl w:val="0"/>
          <w:numId w:val="1023"/>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23"/>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23"/>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5"/>
    <w:bookmarkEnd w:id="16"/>
    <w:bookmarkStart w:id="17"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24"/>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24"/>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24"/>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24"/>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24"/>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24"/>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24"/>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24"/>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24"/>
        </w:numPr>
      </w:pPr>
      <w:r>
        <w:t xml:space="preserve">The remaining sections as they become relevant to what you build.</w:t>
      </w:r>
    </w:p>
    <w:p>
      <w:r>
        <w:pict>
          <v:rect style="width:0;height:1.5pt" o:hralign="center" o:hrstd="t" o:hr="t"/>
        </w:pict>
      </w:r>
    </w:p>
    <w:bookmarkEnd w:id="17"/>
    <w:bookmarkStart w:id="18"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8"/>
    <w:bookmarkStart w:id="21"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9"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9"/>
    <w:bookmarkStart w:id="20"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documented deletion path</w:t>
            </w:r>
          </w:p>
        </w:tc>
      </w:tr>
    </w:tbl>
    <w:p>
      <w:pPr>
        <w:pStyle w:val="BodyText"/>
      </w:pPr>
      <w:r>
        <w:t xml:space="preserve">Classes that recur:</w:t>
      </w:r>
    </w:p>
    <w:p>
      <w:pPr>
        <w:pStyle w:val="Compact"/>
        <w:numPr>
          <w:ilvl w:val="0"/>
          <w:numId w:val="1025"/>
        </w:numPr>
      </w:pPr>
      <w:r>
        <w:t xml:space="preserve">credentials and key material</w:t>
      </w:r>
    </w:p>
    <w:p>
      <w:pPr>
        <w:pStyle w:val="Compact"/>
        <w:numPr>
          <w:ilvl w:val="0"/>
          <w:numId w:val="1025"/>
        </w:numPr>
      </w:pPr>
      <w:r>
        <w:t xml:space="preserve">data restricted under a regime the adopting organization operates under</w:t>
      </w:r>
    </w:p>
    <w:p>
      <w:pPr>
        <w:pStyle w:val="Compact"/>
        <w:numPr>
          <w:ilvl w:val="0"/>
          <w:numId w:val="1025"/>
        </w:numPr>
      </w:pPr>
      <w:r>
        <w:t xml:space="preserve">operational telemetry that identifies a person or a site</w:t>
      </w:r>
    </w:p>
    <w:p>
      <w:pPr>
        <w:pStyle w:val="Compact"/>
        <w:numPr>
          <w:ilvl w:val="0"/>
          <w:numId w:val="1025"/>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20"/>
    <w:bookmarkEnd w:id="21"/>
    <w:bookmarkStart w:id="24"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26"/>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26"/>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26"/>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2"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2"/>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27"/>
        </w:numPr>
      </w:pPr>
      <w:r>
        <w:t xml:space="preserve">Is there any path that reaches execution without the vet running? Check every caller, not the</w:t>
      </w:r>
      <w:r>
        <w:t xml:space="preserve"> </w:t>
      </w:r>
      <w:r>
        <w:t xml:space="preserve">documented one.</w:t>
      </w:r>
    </w:p>
    <w:p>
      <w:pPr>
        <w:pStyle w:val="Compact"/>
        <w:numPr>
          <w:ilvl w:val="0"/>
          <w:numId w:val="1027"/>
        </w:numPr>
      </w:pPr>
      <w:r>
        <w:t xml:space="preserve">Does it fail closed, with no silent downgrade when the intended backend is absent?</w:t>
      </w:r>
    </w:p>
    <w:p>
      <w:pPr>
        <w:pStyle w:val="Compact"/>
        <w:numPr>
          <w:ilvl w:val="0"/>
          <w:numId w:val="1027"/>
        </w:numPr>
      </w:pPr>
      <w:r>
        <w:t xml:space="preserve">Is the load target validated against a fixed known set, so input cannot trigger an arbitrary</w:t>
      </w:r>
      <w:r>
        <w:t xml:space="preserve"> </w:t>
      </w:r>
      <w:r>
        <w:t xml:space="preserve">import?</w:t>
      </w:r>
    </w:p>
    <w:p>
      <w:pPr>
        <w:pStyle w:val="Compact"/>
        <w:numPr>
          <w:ilvl w:val="0"/>
          <w:numId w:val="1027"/>
        </w:numPr>
      </w:pPr>
      <w:r>
        <w:t xml:space="preserve">Does the vet cover the whole executable surface or only the obvious top level?</w:t>
      </w:r>
    </w:p>
    <w:p>
      <w:pPr>
        <w:pStyle w:val="Compact"/>
        <w:numPr>
          <w:ilvl w:val="0"/>
          <w:numId w:val="1027"/>
        </w:numPr>
      </w:pPr>
      <w:r>
        <w:t xml:space="preserve">Does it follow links, so a vetted-looking entry can point somewhere writable?</w:t>
      </w:r>
    </w:p>
    <w:p>
      <w:pPr>
        <w:pStyle w:val="Compact"/>
        <w:numPr>
          <w:ilvl w:val="0"/>
          <w:numId w:val="1027"/>
        </w:numPr>
      </w:pPr>
      <w:r>
        <w:t xml:space="preserve">Is the check skipped under a privileged account?</w:t>
      </w:r>
    </w:p>
    <w:p>
      <w:pPr>
        <w:pStyle w:val="Compact"/>
        <w:numPr>
          <w:ilvl w:val="0"/>
          <w:numId w:val="1027"/>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28"/>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28"/>
        </w:numPr>
      </w:pPr>
      <w:r>
        <w:t xml:space="preserve">Parameterised queries only. No string-built statements anywhere, no exceptions held open by a</w:t>
      </w:r>
      <w:r>
        <w:t xml:space="preserve"> </w:t>
      </w:r>
      <w:r>
        <w:t xml:space="preserve">comment.</w:t>
      </w:r>
    </w:p>
    <w:p>
      <w:pPr>
        <w:pStyle w:val="Compact"/>
        <w:numPr>
          <w:ilvl w:val="0"/>
          <w:numId w:val="1028"/>
        </w:numPr>
      </w:pPr>
      <w:r>
        <w:t xml:space="preserve">Authentication and authorization enforced on every action, deny by default.</w:t>
      </w:r>
    </w:p>
    <w:p>
      <w:pPr>
        <w:pStyle w:val="Compact"/>
        <w:numPr>
          <w:ilvl w:val="0"/>
          <w:numId w:val="1028"/>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28"/>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28"/>
        </w:numPr>
      </w:pPr>
      <w:r>
        <w:t xml:space="preserve">Use vetted cryptographic libraries. Never roll your own.</w:t>
      </w:r>
    </w:p>
    <w:p>
      <w:pPr>
        <w:pStyle w:val="Compact"/>
        <w:numPr>
          <w:ilvl w:val="0"/>
          <w:numId w:val="1028"/>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7"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29"/>
        </w:numPr>
      </w:pPr>
      <w:r>
        <w:t xml:space="preserve">Static analysis, red on any new finding from a clean baseline.</w:t>
      </w:r>
    </w:p>
    <w:p>
      <w:pPr>
        <w:pStyle w:val="Compact"/>
        <w:numPr>
          <w:ilvl w:val="0"/>
          <w:numId w:val="1029"/>
        </w:numPr>
      </w:pPr>
      <w:r>
        <w:t xml:space="preserve">Dependency vulnerability analysis, red on any new advisory.</w:t>
      </w:r>
    </w:p>
    <w:p>
      <w:pPr>
        <w:pStyle w:val="Compact"/>
        <w:numPr>
          <w:ilvl w:val="0"/>
          <w:numId w:val="1029"/>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3"/>
    <w:bookmarkStart w:id="34"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30"/>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30"/>
        </w:numPr>
      </w:pPr>
      <w:r>
        <w:t xml:space="preserve">A dependency that does the parsing or decoding at a boundary crosses a major version.</w:t>
      </w:r>
    </w:p>
    <w:p>
      <w:pPr>
        <w:pStyle w:val="Compact"/>
        <w:numPr>
          <w:ilvl w:val="0"/>
          <w:numId w:val="1030"/>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30"/>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4"/>
    <w:bookmarkStart w:id="35"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5"/>
    <w:bookmarkStart w:id="36"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6"/>
    <w:bookmarkEnd w:id="37"/>
    <w:bookmarkStart w:id="38"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8"/>
    <w:bookmarkStart w:id="41"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9"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9"/>
    <w:bookmarkStart w:id="40"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40"/>
    <w:bookmarkEnd w:id="41"/>
    <w:bookmarkStart w:id="43"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31"/>
        </w:numPr>
      </w:pPr>
      <w:r>
        <w:rPr>
          <w:b/>
          <w:bCs/>
        </w:rPr>
        <w:t xml:space="preserve">Mutual TLS</w:t>
      </w:r>
      <w:r>
        <w:t xml:space="preserve"> </w:t>
      </w:r>
      <w:r>
        <w:t xml:space="preserve">with full chain validation, revocation checking, and rotation before expiry.</w:t>
      </w:r>
    </w:p>
    <w:p>
      <w:pPr>
        <w:pStyle w:val="Compact"/>
        <w:numPr>
          <w:ilvl w:val="0"/>
          <w:numId w:val="1031"/>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31"/>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2"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2"/>
    <w:bookmarkEnd w:id="43"/>
    <w:bookmarkStart w:id="46"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4"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4"/>
    <w:bookmarkStart w:id="45"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5"/>
    <w:bookmarkEnd w:id="46"/>
    <w:bookmarkStart w:id="51"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7"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7"/>
    <w:bookmarkStart w:id="48"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8"/>
    <w:bookmarkStart w:id="49"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9"/>
    <w:bookmarkStart w:id="50"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0"/>
    <w:bookmarkEnd w:id="51"/>
    <w:bookmarkStart w:id="54"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2"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32"/>
        </w:numPr>
      </w:pPr>
      <w:r>
        <w:t xml:space="preserve">file-integrity monitoring against a baseline</w:t>
      </w:r>
    </w:p>
    <w:p>
      <w:pPr>
        <w:pStyle w:val="Compact"/>
        <w:numPr>
          <w:ilvl w:val="0"/>
          <w:numId w:val="1032"/>
        </w:numPr>
      </w:pPr>
      <w:r>
        <w:t xml:space="preserve">immutable or read-only deployment with writable state confined to the data store</w:t>
      </w:r>
    </w:p>
    <w:p>
      <w:pPr>
        <w:pStyle w:val="Compact"/>
        <w:numPr>
          <w:ilvl w:val="0"/>
          <w:numId w:val="1032"/>
        </w:numPr>
      </w:pPr>
      <w:r>
        <w:t xml:space="preserve">least-privilege file ownership so the running account cannot rewrite its own code</w:t>
      </w:r>
    </w:p>
    <w:p>
      <w:pPr>
        <w:pStyle w:val="Compact"/>
        <w:numPr>
          <w:ilvl w:val="0"/>
          <w:numId w:val="1032"/>
        </w:numPr>
      </w:pPr>
      <w:r>
        <w:t xml:space="preserve">confinement under a mandatory access control system</w:t>
      </w:r>
    </w:p>
    <w:p>
      <w:pPr>
        <w:pStyle w:val="Compact"/>
        <w:numPr>
          <w:ilvl w:val="0"/>
          <w:numId w:val="1032"/>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2"/>
    <w:bookmarkStart w:id="53"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3"/>
    <w:bookmarkEnd w:id="54"/>
    <w:bookmarkStart w:id="58"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33"/>
        </w:numPr>
      </w:pPr>
      <w:r>
        <w:t xml:space="preserve">A defined private intake channel.</w:t>
      </w:r>
    </w:p>
    <w:p>
      <w:pPr>
        <w:pStyle w:val="Compact"/>
        <w:numPr>
          <w:ilvl w:val="0"/>
          <w:numId w:val="1033"/>
        </w:numPr>
      </w:pPr>
      <w:r>
        <w:t xml:space="preserve">Severity-banded remediation windows.</w:t>
      </w:r>
    </w:p>
    <w:p>
      <w:pPr>
        <w:pStyle w:val="Compact"/>
        <w:numPr>
          <w:ilvl w:val="0"/>
          <w:numId w:val="1033"/>
        </w:numPr>
      </w:pPr>
      <w:r>
        <w:t xml:space="preserve">A root-cause review for significant findings, feeding systemic causes back into the standard.</w:t>
      </w:r>
    </w:p>
    <w:p>
      <w:pPr>
        <w:pStyle w:val="Compact"/>
        <w:numPr>
          <w:ilvl w:val="0"/>
          <w:numId w:val="1033"/>
        </w:numPr>
      </w:pPr>
      <w:r>
        <w:t xml:space="preserve">Coordinated disclosure after a fix exists.</w:t>
      </w:r>
    </w:p>
    <w:p>
      <w:pPr>
        <w:pStyle w:val="Compact"/>
        <w:numPr>
          <w:ilvl w:val="0"/>
          <w:numId w:val="1033"/>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5"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5"/>
    <w:bookmarkStart w:id="57"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34"/>
        </w:numPr>
      </w:pPr>
      <w:r>
        <w:t xml:space="preserve">a security contact at a documented address</w:t>
      </w:r>
    </w:p>
    <w:p>
      <w:pPr>
        <w:pStyle w:val="Compact"/>
        <w:numPr>
          <w:ilvl w:val="0"/>
          <w:numId w:val="1034"/>
        </w:numPr>
      </w:pPr>
      <w:r>
        <w:t xml:space="preserve">a policy file in the repository where the source host surfaces it</w:t>
      </w:r>
    </w:p>
    <w:p>
      <w:pPr>
        <w:pStyle w:val="Compact"/>
        <w:numPr>
          <w:ilvl w:val="0"/>
          <w:numId w:val="1034"/>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6">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7"/>
    <w:bookmarkEnd w:id="58"/>
    <w:bookmarkStart w:id="59"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9"/>
    <w:bookmarkStart w:id="60"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35"/>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35"/>
        </w:numPr>
      </w:pPr>
      <w:r>
        <w:t xml:space="preserve">Re-confirm from the blocking-job list, not from a badge, that every check in the unwaivable set</w:t>
      </w:r>
      <w:r>
        <w:t xml:space="preserve"> </w:t>
      </w:r>
      <w:r>
        <w:t xml:space="preserve">still blocks.</w:t>
      </w:r>
    </w:p>
    <w:p>
      <w:pPr>
        <w:pStyle w:val="Compact"/>
        <w:numPr>
          <w:ilvl w:val="0"/>
          <w:numId w:val="1035"/>
        </w:numPr>
      </w:pPr>
      <w:r>
        <w:t xml:space="preserve">Confirm the scanner suppression list has not grown unreviewed.</w:t>
      </w:r>
    </w:p>
    <w:p>
      <w:pPr>
        <w:pStyle w:val="Compact"/>
        <w:numPr>
          <w:ilvl w:val="0"/>
          <w:numId w:val="1035"/>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60"/>
    <w:bookmarkStart w:id="63"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2"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36"/>
        </w:numPr>
      </w:pPr>
      <w:r>
        <w:t xml:space="preserve">the objective, and what is explicitly out of scope</w:t>
      </w:r>
    </w:p>
    <w:p>
      <w:pPr>
        <w:pStyle w:val="Compact"/>
        <w:numPr>
          <w:ilvl w:val="0"/>
          <w:numId w:val="1036"/>
        </w:numPr>
      </w:pPr>
      <w:r>
        <w:t xml:space="preserve">the environment and the authorized test site</w:t>
      </w:r>
    </w:p>
    <w:p>
      <w:pPr>
        <w:pStyle w:val="Compact"/>
        <w:numPr>
          <w:ilvl w:val="0"/>
          <w:numId w:val="1036"/>
        </w:numPr>
      </w:pPr>
      <w:r>
        <w:t xml:space="preserve">the artifacts you hand over up front -- threat models, architecture, previous assessment results,</w:t>
      </w:r>
      <w:r>
        <w:t xml:space="preserve"> </w:t>
      </w:r>
      <w:r>
        <w:t xml:space="preserve">the deviations register</w:t>
      </w:r>
    </w:p>
    <w:p>
      <w:pPr>
        <w:pStyle w:val="Compact"/>
        <w:numPr>
          <w:ilvl w:val="0"/>
          <w:numId w:val="1036"/>
        </w:numPr>
      </w:pPr>
      <w:r>
        <w:t xml:space="preserve">named points of contact on both sides, including the incident-response contact</w:t>
      </w:r>
    </w:p>
    <w:p>
      <w:pPr>
        <w:pStyle w:val="Compact"/>
        <w:numPr>
          <w:ilvl w:val="0"/>
          <w:numId w:val="1036"/>
        </w:numPr>
      </w:pPr>
      <w:r>
        <w:t xml:space="preserve">permitted testing hours</w:t>
      </w:r>
    </w:p>
    <w:p>
      <w:pPr>
        <w:pStyle w:val="Compact"/>
        <w:numPr>
          <w:ilvl w:val="0"/>
          <w:numId w:val="1036"/>
        </w:numPr>
      </w:pPr>
      <w:r>
        <w:t xml:space="preserve">the risks and their agreed mitigations</w:t>
      </w:r>
    </w:p>
    <w:p>
      <w:pPr>
        <w:pStyle w:val="Compact"/>
        <w:numPr>
          <w:ilvl w:val="0"/>
          <w:numId w:val="1036"/>
        </w:numPr>
      </w:pPr>
      <w:r>
        <w:t xml:space="preserve">what data the tester may encounter, and how it must be handled and destroyed</w:t>
      </w:r>
    </w:p>
    <w:p>
      <w:pPr>
        <w:pStyle w:val="Compact"/>
        <w:numPr>
          <w:ilvl w:val="0"/>
          <w:numId w:val="1036"/>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1">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37"/>
        </w:numPr>
      </w:pPr>
      <w:r>
        <w:t xml:space="preserve">verdict vocabulary</w:t>
      </w:r>
    </w:p>
    <w:p>
      <w:pPr>
        <w:pStyle w:val="Compact"/>
        <w:numPr>
          <w:ilvl w:val="0"/>
          <w:numId w:val="1037"/>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37"/>
        </w:numPr>
      </w:pPr>
      <w:r>
        <w:t xml:space="preserve">evidence anchors a machine can re-check</w:t>
      </w:r>
    </w:p>
    <w:p>
      <w:pPr>
        <w:pStyle w:val="Compact"/>
        <w:numPr>
          <w:ilvl w:val="0"/>
          <w:numId w:val="1037"/>
        </w:numPr>
      </w:pPr>
      <w:r>
        <w:t xml:space="preserve">pinning the standard's corpus</w:t>
      </w:r>
    </w:p>
    <w:p>
      <w:pPr>
        <w:pStyle w:val="Compact"/>
        <w:numPr>
          <w:ilvl w:val="0"/>
          <w:numId w:val="1037"/>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2"/>
    <w:bookmarkEnd w:id="63"/>
    <w:bookmarkStart w:id="65"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38"/>
        </w:numPr>
      </w:pPr>
      <w:r>
        <w:t xml:space="preserve">Automated blocking checks passing on the exact commit being released.</w:t>
      </w:r>
    </w:p>
    <w:p>
      <w:pPr>
        <w:pStyle w:val="Compact"/>
        <w:numPr>
          <w:ilvl w:val="0"/>
          <w:numId w:val="1038"/>
        </w:numPr>
      </w:pPr>
      <w:r>
        <w:t xml:space="preserve">No unresolved high or critical findings.</w:t>
      </w:r>
    </w:p>
    <w:p>
      <w:pPr>
        <w:pStyle w:val="Compact"/>
        <w:numPr>
          <w:ilvl w:val="0"/>
          <w:numId w:val="1038"/>
        </w:numPr>
      </w:pPr>
      <w:r>
        <w:t xml:space="preserve">Current independent-review status, or a signed risk acceptance standing in for it.</w:t>
      </w:r>
    </w:p>
    <w:p>
      <w:pPr>
        <w:pStyle w:val="Compact"/>
        <w:numPr>
          <w:ilvl w:val="0"/>
          <w:numId w:val="1038"/>
        </w:numPr>
      </w:pPr>
      <w:r>
        <w:t xml:space="preserve">Updated evidence.</w:t>
      </w:r>
    </w:p>
    <w:p>
      <w:pPr>
        <w:pStyle w:val="Compact"/>
        <w:numPr>
          <w:ilvl w:val="0"/>
          <w:numId w:val="1038"/>
        </w:numPr>
      </w:pPr>
      <w:r>
        <w:t xml:space="preserve">A signed artifact with its component inventory and digest manifest attached to the tag.</w:t>
      </w:r>
    </w:p>
    <w:p>
      <w:pPr>
        <w:pStyle w:val="Compact"/>
        <w:numPr>
          <w:ilvl w:val="0"/>
          <w:numId w:val="1038"/>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4"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4"/>
    <w:bookmarkEnd w:id="65"/>
    <w:bookmarkStart w:id="66"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39"/>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39"/>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39"/>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39"/>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6"/>
    <w:bookmarkStart w:id="67"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7"/>
    <w:bookmarkStart w:id="68" w:name="adapting-this-to-your-project"/>
    <w:p>
      <w:pPr>
        <w:pStyle w:val="Heading2"/>
      </w:pPr>
      <w:r>
        <w:t xml:space="preserve">Adapting this to your project</w:t>
      </w:r>
    </w:p>
    <w:p>
      <w:pPr>
        <w:pStyle w:val="FirstParagraph"/>
      </w:pPr>
      <w:r>
        <w:t xml:space="preserve">Change freely:</w:t>
      </w:r>
    </w:p>
    <w:p>
      <w:pPr>
        <w:pStyle w:val="Compact"/>
        <w:numPr>
          <w:ilvl w:val="0"/>
          <w:numId w:val="1040"/>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40"/>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40"/>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40"/>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40"/>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41"/>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41"/>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41"/>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41"/>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41"/>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41"/>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8"/>
    <w:bookmarkStart w:id="71"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42"/>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42"/>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42"/>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42"/>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9"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9"/>
    <w:bookmarkStart w:id="70"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43"/>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43"/>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70"/>
    <w:bookmarkEnd w:id="71"/>
    <w:bookmarkStart w:id="72"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2"/>
    <w:bookmarkStart w:id="73"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3"/>
    <w:bookmarkStart w:id="77" w:name="related"/>
    <w:p>
      <w:pPr>
        <w:pStyle w:val="Heading2"/>
      </w:pPr>
      <w:r>
        <w:t xml:space="preserve">Related</w:t>
      </w:r>
    </w:p>
    <w:p>
      <w:pPr>
        <w:pStyle w:val="Compact"/>
        <w:numPr>
          <w:ilvl w:val="0"/>
          <w:numId w:val="1044"/>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44"/>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44"/>
        </w:numPr>
      </w:pPr>
      <w:hyperlink r:id="rId56">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44"/>
        </w:numPr>
      </w:pPr>
      <w:hyperlink r:id="rId74">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44"/>
        </w:numPr>
      </w:pPr>
      <w:hyperlink r:id="rId61">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44"/>
        </w:numPr>
      </w:pPr>
      <w:hyperlink r:id="rId75">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44"/>
        </w:numPr>
      </w:pPr>
      <w:hyperlink r:id="rId76">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1"/>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1"/>
  </w:num>
  <w:num w:numId="101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2026-08-07T05:11:43Z</dcterms:created>
  <dcterms:modified xsi:type="dcterms:W3CDTF">2026-08-07T05:11:43Z</dcterms:modified>
</cp:coreProperties>
</file>

<file path=docProps/custom.xml><?xml version="1.0" encoding="utf-8"?>
<Properties xmlns="http://schemas.openxmlformats.org/officeDocument/2006/custom-properties" xmlns:vt="http://schemas.openxmlformats.org/officeDocument/2006/docPropsVTypes"/>
</file>