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c4266042f61b8b129a9b13fd84e08e788fd59dd"/>
    <w:p>
      <w:pPr>
        <w:pStyle w:val="Heading1"/>
      </w:pPr>
      <w:r>
        <w:t xml:space="preserve">What to ask a software vendor for, and what each answer proves</w:t>
      </w:r>
    </w:p>
    <w:p>
      <w:pPr>
        <w:pStyle w:val="FirstParagraph"/>
      </w:pPr>
      <w:r>
        <w:rPr>
          <w:b/>
          <w:bCs/>
        </w:rPr>
        <w:t xml:space="preserve">The mirror of the standards map: that one answers which of these reach your own organization, this</w:t>
      </w:r>
      <w:r>
        <w:rPr>
          <w:b/>
          <w:bCs/>
        </w:rPr>
        <w:t xml:space="preserve"> </w:t>
      </w:r>
      <w:r>
        <w:rPr>
          <w:b/>
          <w:bCs/>
        </w:rPr>
        <w:t xml:space="preserve">one answers what to require of a vendor you are evaluating -- and what each answer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proves.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The commonest mistake in vendor diligence is reading an audit report or a certificate as an answer</w:t>
      </w:r>
      <w:r>
        <w:rPr>
          <w:b/>
          <w:bCs/>
        </w:rPr>
        <w:t xml:space="preserve"> </w:t>
      </w:r>
      <w:r>
        <w:rPr>
          <w:b/>
          <w:bCs/>
        </w:rPr>
        <w:t xml:space="preserve">about the product.</w:t>
      </w:r>
      <w:r>
        <w:t xml:space="preserve"> </w:t>
      </w:r>
      <w:r>
        <w:t xml:space="preserve">Those instruments examine how a company governs</w:t>
      </w:r>
      <w:r>
        <w:t xml:space="preserve"> </w:t>
      </w:r>
      <w:r>
        <w:t xml:space="preserve">itself -- its policies, its access reviews, its change management. They never open the code. A</w:t>
      </w:r>
      <w:r>
        <w:t xml:space="preserve"> </w:t>
      </w:r>
      <w:r>
        <w:t xml:space="preserve">vendor can hold a clean report across a full twelve-month period, ship software with an</w:t>
      </w:r>
      <w:r>
        <w:t xml:space="preserve"> </w:t>
      </w:r>
      <w:r>
        <w:t xml:space="preserve">authorization flaw in it, and have said nothing false.</w:t>
      </w:r>
    </w:p>
    <w:p>
      <w:pPr>
        <w:pStyle w:val="BodyText"/>
      </w:pPr>
      <w:r>
        <w:t xml:space="preserve">So sort the evidence by layer -- the company, the software, the contract -- and ask three things</w:t>
      </w:r>
      <w:r>
        <w:t xml:space="preserve"> </w:t>
      </w:r>
      <w:r>
        <w:t xml:space="preserve">before anything else: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scope statement</w:t>
      </w:r>
      <w:r>
        <w:t xml:space="preserve"> </w:t>
      </w:r>
      <w:r>
        <w:t xml:space="preserve">of whatever organization-layer instrument they offered. Not the</w:t>
      </w:r>
      <w:r>
        <w:t xml:space="preserve"> </w:t>
      </w:r>
      <w:r>
        <w:t xml:space="preserve">certificate, not the cover page. The scope alone decides whether the thing you are buying was</w:t>
      </w:r>
      <w:r>
        <w:t xml:space="preserve"> </w:t>
      </w:r>
      <w:r>
        <w:t xml:space="preserve">inside the examination, and for software you install and run yourself the answer is frequently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SBOM of what you will actually run.</w:t>
      </w:r>
      <w:r>
        <w:t xml:space="preserve"> </w:t>
      </w:r>
      <w:r>
        <w:t xml:space="preserve">For an installed product that is the released</w:t>
      </w:r>
      <w:r>
        <w:t xml:space="preserve"> </w:t>
      </w:r>
      <w:r>
        <w:t xml:space="preserve">artifact; for a hosted service it is the runtime production environment. A build-time source</w:t>
      </w:r>
      <w:r>
        <w:t xml:space="preserve"> </w:t>
      </w:r>
      <w:r>
        <w:t xml:space="preserve">manifest answers a different question.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dates and a name:</w:t>
      </w:r>
      <w:r>
        <w:t xml:space="preserve"> </w:t>
      </w:r>
      <w:r>
        <w:t xml:space="preserve">the last dynamic test, the last incident response exercise, and who ran</w:t>
      </w:r>
      <w:r>
        <w:t xml:space="preserve"> </w:t>
      </w:r>
      <w:r>
        <w:t xml:space="preserve">the test. Both dates are trivial to supply if they happened, and neither can be produced</w:t>
      </w:r>
      <w:r>
        <w:t xml:space="preserve"> </w:t>
      </w:r>
      <w:r>
        <w:t xml:space="preserve">retrospectively. The name decides whether you are holding an independent look or the output of</w:t>
      </w:r>
      <w:r>
        <w:t xml:space="preserve"> </w:t>
      </w:r>
      <w:r>
        <w:t xml:space="preserve">the vendor's own tooling.</w:t>
      </w:r>
    </w:p>
    <w:p>
      <w:pPr>
        <w:pStyle w:val="FirstParagraph"/>
      </w:pPr>
      <w:r>
        <w:t xml:space="preserve">Each of the three is a document, a date or a name. None can be answered with an adjective.</w:t>
      </w:r>
    </w:p>
    <w:p>
      <w:r>
        <w:pict>
          <v:rect style="width:0;height:1.5pt" o:hralign="center" o:hrstd="t" o:hr="t"/>
        </w:pict>
      </w:r>
    </w:p>
    <w:bookmarkEnd w:id="12"/>
    <w:bookmarkStart w:id="14" w:name="how-this-page-is-organized"/>
    <w:p>
      <w:pPr>
        <w:pStyle w:val="Heading2"/>
      </w:pPr>
      <w:r>
        <w:t xml:space="preserve">How this page is organized</w:t>
      </w:r>
    </w:p>
    <w:p>
      <w:pPr>
        <w:pStyle w:val="FirstParagraph"/>
      </w:pPr>
      <w:r>
        <w:t xml:space="preserve">The three groups below are sorted by layer, which is the cut that makes the mistake visible: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Organization layer</w:t>
      </w:r>
      <w:r>
        <w:t xml:space="preserve"> </w:t>
      </w:r>
      <w:r>
        <w:t xml:space="preserve">-- evidence about the company.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Software layer</w:t>
      </w:r>
      <w:r>
        <w:t xml:space="preserve"> </w:t>
      </w:r>
      <w:r>
        <w:t xml:space="preserve">-- evidence about the thing you are buying.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 instruments</w:t>
      </w:r>
      <w:r>
        <w:t xml:space="preserve"> </w:t>
      </w:r>
      <w:r>
        <w:t xml:space="preserve">-- evidence about who pays when it goes wrong.</w:t>
      </w:r>
    </w:p>
    <w:p>
      <w:pPr>
        <w:pStyle w:val="FirstParagraph"/>
      </w:pPr>
      <w:r>
        <w:t xml:space="preserve">None of this is a reason to dismiss the organization-layer instruments. What they establish -- that</w:t>
      </w:r>
      <w:r>
        <w:t xml:space="preserve"> </w:t>
      </w:r>
      <w:r>
        <w:t xml:space="preserve">somebody outside the company examined how it governs itself, grants access and manages change, and</w:t>
      </w:r>
      <w:r>
        <w:t xml:space="preserve"> </w:t>
      </w:r>
      <w:r>
        <w:t xml:space="preserve">wrote down what they found -- is worth having, and a vendor holding none of them is a different risk</w:t>
      </w:r>
      <w:r>
        <w:t xml:space="preserve"> </w:t>
      </w:r>
      <w:r>
        <w:t xml:space="preserve">entirely. The failure is</w:t>
      </w:r>
      <w:r>
        <w:t xml:space="preserve"> </w:t>
      </w:r>
      <w:r>
        <w:t xml:space="preserve">narrower than that: reading a program attestation as an answer to "is this product secure", when no</w:t>
      </w:r>
      <w:r>
        <w:t xml:space="preserve"> </w:t>
      </w:r>
      <w:r>
        <w:t xml:space="preserve">part of it asked that question.</w:t>
      </w:r>
    </w:p>
    <w:p>
      <w:pPr>
        <w:pStyle w:val="BodyText"/>
      </w:pPr>
      <w:r>
        <w:t xml:space="preserve">Every row carries what it proves, what it does not prove, and what to ask. Statuses, versions and</w:t>
      </w:r>
      <w:r>
        <w:t xml:space="preserve"> </w:t>
      </w:r>
      <w:r>
        <w:t xml:space="preserve">dates live on the reference page, each carrying the date it was checked; this page carries none, on</w:t>
      </w:r>
      <w:r>
        <w:t xml:space="preserve"> </w:t>
      </w:r>
      <w:r>
        <w:t xml:space="preserve">purpose, so that it does not rot. For the producer's side of the same cut, see</w:t>
      </w:r>
      <w:r>
        <w:t xml:space="preserve"> </w:t>
      </w:r>
      <w:hyperlink r:id="rId13">
        <w:r>
          <w:rPr>
            <w:rStyle w:val="Hyperlink"/>
          </w:rPr>
          <w:t xml:space="preserve">the organization layer is not the software layer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e00b8717199ecc89f5e45a0b6bc81dc144fdf81"/>
    <w:p>
      <w:pPr>
        <w:pStyle w:val="Heading2"/>
      </w:pPr>
      <w:r>
        <w:t xml:space="preserve">Organization layer: evidence about the company</w:t>
      </w:r>
    </w:p>
    <w:p>
      <w:pPr>
        <w:pStyle w:val="FirstParagraph"/>
      </w:pPr>
      <w:r>
        <w:t xml:space="preserve">Procurement already knows how to ask for these, and most are issued by a party other than the vendor</w:t>
      </w:r>
      <w:r>
        <w:t xml:space="preserve"> </w:t>
      </w:r>
      <w:r>
        <w:t xml:space="preserve">-- which is where their weight comes from, and none of that weight is about the product. One caveat</w:t>
      </w:r>
      <w:r>
        <w:t xml:space="preserve"> </w:t>
      </w:r>
      <w:r>
        <w:t xml:space="preserve">governs the whole group: an examination or a certification has a boundary, and software you install</w:t>
      </w:r>
      <w:r>
        <w:t xml:space="preserve"> </w:t>
      </w:r>
      <w:r>
        <w:t xml:space="preserve">and run yourself frequently falls outside it. The boundary appears in the scope statement and</w:t>
      </w:r>
      <w:r>
        <w:t xml:space="preserve"> </w:t>
      </w:r>
      <w:r>
        <w:t xml:space="preserve">nowhere else.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item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What it does not prove</w:t>
            </w:r>
          </w:p>
        </w:tc>
        <w:tc>
          <w:tcPr/>
          <w:p>
            <w:pPr>
              <w:pStyle w:val="Compact"/>
            </w:pPr>
            <w:r>
              <w:t xml:space="preserve">What to 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</w:t>
            </w:r>
            <w:r>
              <w:t xml:space="preserve"> </w:t>
            </w:r>
            <w:r>
              <w:t xml:space="preserve">-- an examination report, point-in-time</w:t>
            </w:r>
          </w:p>
        </w:tc>
        <w:tc>
          <w:tcPr/>
          <w:p>
            <w:pPr>
              <w:pStyle w:val="Compact"/>
            </w:pPr>
            <w:r>
              <w:t xml:space="preserve">A licensed firm's opinion that controls were suitably designed as of one date</w:t>
            </w:r>
          </w:p>
        </w:tc>
        <w:tc>
          <w:tcPr/>
          <w:p>
            <w:pPr>
              <w:pStyle w:val="Compact"/>
            </w:pPr>
            <w:r>
              <w:t xml:space="preserve">That any control ever operated. It observed a design, not a period of behavior, and it looked at the organization rather than the code</w:t>
            </w:r>
          </w:p>
        </w:tc>
        <w:tc>
          <w:tcPr/>
          <w:p>
            <w:pPr>
              <w:pStyle w:val="Compact"/>
            </w:pPr>
            <w:r>
              <w:t xml:space="preserve">Why Type I rather than Type II, and when does the first Type II period end?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II</w:t>
            </w:r>
            <w:r>
              <w:t xml:space="preserve"> </w:t>
            </w:r>
            <w:r>
              <w:t xml:space="preserve">-- an examination report over a period</w:t>
            </w:r>
          </w:p>
        </w:tc>
        <w:tc>
          <w:tcPr/>
          <w:p>
            <w:pPr>
              <w:pStyle w:val="Compact"/>
            </w:pPr>
            <w:r>
              <w:t xml:space="preserve">A licensed firm's opinion on operating effectiveness across a period, typically six to twelve months, against the Trust Services Criteria the vendor elected</w:t>
            </w:r>
          </w:p>
        </w:tc>
        <w:tc>
          <w:tcPr/>
          <w:p>
            <w:pPr>
              <w:pStyle w:val="Compact"/>
            </w:pPr>
            <w:r>
              <w:t xml:space="preserve">That distributed software was examined; it commonly sits outside the scope boundary. The report is an attestation, not a certificate -- there is no pass mark</w:t>
            </w:r>
          </w:p>
        </w:tc>
        <w:tc>
          <w:tcPr/>
          <w:p>
            <w:pPr>
              <w:pStyle w:val="Compact"/>
            </w:pPr>
            <w:r>
              <w:t xml:space="preserve">What did the scope cover, and what exceptions did the firm list?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</w:t>
            </w:r>
            <w:r>
              <w:t xml:space="preserve"> </w:t>
            </w:r>
            <w:r>
              <w:t xml:space="preserve">-- a management-system certificate</w:t>
            </w:r>
          </w:p>
        </w:tc>
        <w:tc>
          <w:tcPr/>
          <w:p>
            <w:pPr>
              <w:pStyle w:val="Compact"/>
            </w:pPr>
            <w:r>
              <w:t xml:space="preserve">That an accredited certification body certified an information security management system for a stated scope</w:t>
            </w:r>
          </w:p>
        </w:tc>
        <w:tc>
          <w:tcPr/>
          <w:p>
            <w:pPr>
              <w:pStyle w:val="Compact"/>
            </w:pPr>
            <w:r>
              <w:t xml:space="preserve">That a product was certified. It is not "the international SOC 2" -- that instrument is an opinion plus exceptions, this one a certificate plus a scope statement</w:t>
            </w:r>
          </w:p>
        </w:tc>
        <w:tc>
          <w:tcPr/>
          <w:p>
            <w:pPr>
              <w:pStyle w:val="Compact"/>
            </w:pPr>
            <w:r>
              <w:t xml:space="preserve">What scope is printed on the certificate, and who accredited the body that issued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HITRUST CSF</w:t>
            </w:r>
            <w:r>
              <w:t xml:space="preserve"> </w:t>
            </w:r>
            <w:r>
              <w:t xml:space="preserve">-- a validated assessment of controls and environment</w:t>
            </w:r>
          </w:p>
        </w:tc>
        <w:tc>
          <w:tcPr/>
          <w:p>
            <w:pPr>
              <w:pStyle w:val="Compact"/>
            </w:pPr>
            <w:r>
              <w:t xml:space="preserve">A third-party validated result at one of three named tiers -- e1, i1 and r2 -- which are not interchangeable</w:t>
            </w:r>
          </w:p>
        </w:tc>
        <w:tc>
          <w:tcPr/>
          <w:p>
            <w:pPr>
              <w:pStyle w:val="Compact"/>
            </w:pPr>
            <w:r>
              <w:t xml:space="preserve">That distributable software was assessed. What is assessed is an organization's controls and environment, which can include the environment operating the software</w:t>
            </w:r>
          </w:p>
        </w:tc>
        <w:tc>
          <w:tcPr/>
          <w:p>
            <w:pPr>
              <w:pStyle w:val="Compact"/>
            </w:pPr>
            <w:r>
              <w:t xml:space="preserve">Which tier was assessed, and what did the assessment take in?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 and program instruments</w:t>
            </w:r>
            <w:r>
              <w:t xml:space="preserve"> </w:t>
            </w:r>
            <w:r>
              <w:t xml:space="preserve">-- a PCI DSS validation document, a FedRAMP or StateRAMP authorization, a CJIS policy audit</w:t>
            </w:r>
          </w:p>
        </w:tc>
        <w:tc>
          <w:tcPr/>
          <w:p>
            <w:pPr>
              <w:pStyle w:val="Compact"/>
            </w:pPr>
            <w:r>
              <w:t xml:space="preserve">That the operating environment for a named offering was assessed against that program's own rules</w:t>
            </w:r>
          </w:p>
        </w:tc>
        <w:tc>
          <w:tcPr/>
          <w:p>
            <w:pPr>
              <w:pStyle w:val="Compact"/>
            </w:pPr>
            <w:r>
              <w:t xml:space="preserve">Anything about software you install and run yourself. Nor that a third party did the assessing: a PCI DSS self-assessment questionnaire is completed and signed by the vendor</w:t>
            </w:r>
          </w:p>
        </w:tc>
        <w:tc>
          <w:tcPr/>
          <w:p>
            <w:pPr>
              <w:pStyle w:val="Compact"/>
            </w:pPr>
            <w:r>
              <w:t xml:space="preserve">Which offering was in scope, was it independently assessed or self-assessed, and is the offering you are buying the one that was named?</w:t>
            </w:r>
          </w:p>
        </w:tc>
      </w:tr>
    </w:tbl>
    <w:p>
      <w:pPr>
        <w:pStyle w:val="BodyText"/>
      </w:pPr>
      <w:r>
        <w:t xml:space="preserve">Three things that trip people up here: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examination period that produced no exception at all is worth a question of its own.</w:t>
      </w:r>
      <w:r>
        <w:t xml:space="preserve"> </w:t>
      </w:r>
      <w:r>
        <w:t xml:space="preserve">The</w:t>
      </w:r>
      <w:r>
        <w:t xml:space="preserve"> </w:t>
      </w:r>
      <w:r>
        <w:t xml:space="preserve">scope passage and the exceptions passage are the report; the rest is structure.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certificate scope of one office or one business unit is entirely ordinary,</w:t>
      </w:r>
      <w:r>
        <w:t xml:space="preserve"> </w:t>
      </w:r>
      <w:r>
        <w:t xml:space="preserve">and narrower than</w:t>
      </w:r>
      <w:r>
        <w:t xml:space="preserve"> </w:t>
      </w:r>
      <w:r>
        <w:t xml:space="preserve">a reader takes it to be. The standards publisher itself issues nothing -- the accredited body</w:t>
      </w:r>
      <w:r>
        <w:t xml:space="preserve"> </w:t>
      </w:r>
      <w:r>
        <w:t xml:space="preserve">does.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HITRUST sits in the same set as the program instruments, and none of them outranks the others.</w:t>
      </w:r>
      <w:r>
        <w:t xml:space="preserve"> </w:t>
      </w:r>
      <w:r>
        <w:t xml:space="preserve">Its two lower tiers are published as fixed core control sets while the highest is tailored and</w:t>
      </w:r>
      <w:r>
        <w:t xml:space="preserve"> </w:t>
      </w:r>
      <w:r>
        <w:t xml:space="preserve">risk-based, so a tier name on its own does not say how much was looked at. Ask for tier and scope,</w:t>
      </w:r>
      <w:r>
        <w:t xml:space="preserve"> </w:t>
      </w:r>
      <w:r>
        <w:t xml:space="preserve">never control text: the framework's text is licensed. And the body that writes a program standard</w:t>
      </w:r>
      <w:r>
        <w:t xml:space="preserve"> </w:t>
      </w:r>
      <w:r>
        <w:t xml:space="preserve">is often not the body that sets your validation requirement.</w:t>
      </w:r>
    </w:p>
    <w:p>
      <w:r>
        <w:pict>
          <v:rect style="width:0;height:1.5pt" o:hralign="center" o:hrstd="t" o:hr="t"/>
        </w:pict>
      </w:r>
    </w:p>
    <w:bookmarkEnd w:id="15"/>
    <w:bookmarkStart w:id="18" w:name="X4d8870e3efb0a55c27ab68f184d5d94a4b36305"/>
    <w:p>
      <w:pPr>
        <w:pStyle w:val="Heading2"/>
      </w:pPr>
      <w:r>
        <w:t xml:space="preserve">Software layer: evidence about the thing you are buying</w:t>
      </w:r>
    </w:p>
    <w:p>
      <w:pPr>
        <w:pStyle w:val="FirstParagraph"/>
      </w:pPr>
      <w:r>
        <w:t xml:space="preserve">Nothing in the group above examined the code or the build. These four are about the code and the</w:t>
      </w:r>
      <w:r>
        <w:t xml:space="preserve"> </w:t>
      </w:r>
      <w:r>
        <w:t xml:space="preserve">build, and the question is always how each one was produced. Three of them the vendor writes about</w:t>
      </w:r>
      <w:r>
        <w:t xml:space="preserve"> </w:t>
      </w:r>
      <w:r>
        <w:t xml:space="preserve">its own system, so their weight comes from the discipline behind them rather than from who issued</w:t>
      </w:r>
      <w:r>
        <w:t xml:space="preserve"> </w:t>
      </w:r>
      <w:r>
        <w:t xml:space="preserve">them. Testing evidence is the exception and the strongest item in the group, but only in one form:</w:t>
      </w:r>
      <w:r>
        <w:t xml:space="preserve"> </w:t>
      </w:r>
      <w:r>
        <w:t xml:space="preserve">an external assessment or a penetration test, which is the one software-layer artifact a third party</w:t>
      </w:r>
      <w:r>
        <w:t xml:space="preserve"> </w:t>
      </w:r>
      <w:r>
        <w:t xml:space="preserve">issues. Ask for it by those names, because a vendor asked for "testing evidence" will usually hand</w:t>
      </w:r>
      <w:r>
        <w:t xml:space="preserve"> </w:t>
      </w:r>
      <w:r>
        <w:t xml:space="preserve">over the output of its own tooling.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item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What it does not prove</w:t>
            </w:r>
          </w:p>
        </w:tc>
        <w:tc>
          <w:tcPr/>
          <w:p>
            <w:pPr>
              <w:pStyle w:val="Compact"/>
            </w:pPr>
            <w:r>
              <w:t xml:space="preserve">What to 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software bill of materials</w:t>
            </w:r>
          </w:p>
        </w:tc>
        <w:tc>
          <w:tcPr/>
          <w:p>
            <w:pPr>
              <w:pStyle w:val="Compact"/>
            </w:pPr>
            <w:r>
              <w:t xml:space="preserve">Which components are in the build</w:t>
            </w:r>
          </w:p>
        </w:tc>
        <w:tc>
          <w:tcPr/>
          <w:p>
            <w:pPr>
              <w:pStyle w:val="Compact"/>
            </w:pPr>
            <w:r>
              <w:t xml:space="preserve">Whether any of it is exploitable in the configuration you will run. A conforming SBOM can still be inaccurate</w:t>
            </w:r>
          </w:p>
        </w:tc>
        <w:tc>
          <w:tcPr/>
          <w:p>
            <w:pPr>
              <w:pStyle w:val="Compact"/>
            </w:pPr>
            <w:r>
              <w:t xml:space="preserve">Is it generated by the build for the exact released artifact, or hand-maintained?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data flow diagram</w:t>
            </w:r>
          </w:p>
        </w:tc>
        <w:tc>
          <w:tcPr/>
          <w:p>
            <w:pPr>
              <w:pStyle w:val="Compact"/>
            </w:pPr>
            <w:r>
              <w:t xml:space="preserve">Where data crosses a trust boundary -- which is where a control has to exist, and where a threat model becomes checkable</w:t>
            </w:r>
          </w:p>
        </w:tc>
        <w:tc>
          <w:tcPr/>
          <w:p>
            <w:pPr>
              <w:pStyle w:val="Compact"/>
            </w:pPr>
            <w:r>
              <w:t xml:space="preserve">Anything at all, if the boundaries are not marked. Unmarked, it is a diagram rather than a security artifact</w:t>
            </w:r>
          </w:p>
        </w:tc>
        <w:tc>
          <w:tcPr/>
          <w:p>
            <w:pPr>
              <w:pStyle w:val="Compact"/>
            </w:pPr>
            <w:r>
              <w:t xml:space="preserve">Which boundaries are marked, and which control sits on each one?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Cryptography documentation</w:t>
            </w:r>
          </w:p>
        </w:tc>
        <w:tc>
          <w:tcPr/>
          <w:p>
            <w:pPr>
              <w:pStyle w:val="Compact"/>
            </w:pPr>
            <w:r>
              <w:t xml:space="preserve">Which algorithms and modes are used, and where data is encrypted in transit and at rest</w:t>
            </w:r>
          </w:p>
        </w:tc>
        <w:tc>
          <w:tcPr/>
          <w:p>
            <w:pPr>
              <w:pStyle w:val="Compact"/>
            </w:pPr>
            <w:r>
              <w:t xml:space="preserve">Key management. "AES-256" names an algorithm, not a key lifecycle</w:t>
            </w:r>
          </w:p>
        </w:tc>
        <w:tc>
          <w:tcPr/>
          <w:p>
            <w:pPr>
              <w:pStyle w:val="Compact"/>
            </w:pPr>
            <w:r>
              <w:t xml:space="preserve">Who holds the keys, where do they live, and what happens on rotation and on revocation?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evidence</w:t>
            </w:r>
          </w:p>
        </w:tc>
        <w:tc>
          <w:tcPr/>
          <w:p>
            <w:pPr>
              <w:pStyle w:val="Compact"/>
            </w:pPr>
            <w:r>
              <w:t xml:space="preserve">That a named class of defect was looked for, by a named method, on a named date and against a named version</w:t>
            </w:r>
          </w:p>
        </w:tc>
        <w:tc>
          <w:tcPr/>
          <w:p>
            <w:pPr>
              <w:pStyle w:val="Compact"/>
            </w:pPr>
            <w:r>
              <w:t xml:space="preserve">The absence of anything. Static analysis and dynamic testing find different classes of defect, and neither substitutes for the other</w:t>
            </w:r>
          </w:p>
        </w:tc>
        <w:tc>
          <w:tcPr/>
          <w:p>
            <w:pPr>
              <w:pStyle w:val="Compact"/>
            </w:pPr>
            <w:r>
              <w:t xml:space="preserve">Who ran it, and were they independent of the team that wrote the code?</w:t>
            </w:r>
          </w:p>
        </w:tc>
      </w:tr>
    </w:tbl>
    <w:p>
      <w:pPr>
        <w:pStyle w:val="BodyText"/>
      </w:pPr>
      <w:r>
        <w:t xml:space="preserve">Two follow-ups worth the time: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 testing evidence:</w:t>
      </w:r>
      <w:r>
        <w:t xml:space="preserve"> </w:t>
      </w:r>
      <w:r>
        <w:t xml:space="preserve">what was in scope, which version was tested, and what triggers the next</w:t>
      </w:r>
      <w:r>
        <w:t xml:space="preserve"> </w:t>
      </w:r>
      <w:r>
        <w:t xml:space="preserve">run -- a change, or a date on the calendar?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 a hosted platform's SBOM:</w:t>
      </w:r>
      <w:r>
        <w:t xml:space="preserve"> </w:t>
      </w:r>
      <w:r>
        <w:t xml:space="preserve">does it describe the runtime production environment, or a</w:t>
      </w:r>
      <w:r>
        <w:t xml:space="preserve"> </w:t>
      </w:r>
      <w:r>
        <w:t xml:space="preserve">build-time source manifest? Those answer different questions, and only one of them describes what</w:t>
      </w:r>
      <w:r>
        <w:t xml:space="preserve"> </w:t>
      </w:r>
      <w:r>
        <w:t xml:space="preserve">is running.</w:t>
      </w:r>
    </w:p>
    <w:p>
      <w:pPr>
        <w:pStyle w:val="FirstParagraph"/>
      </w:pPr>
      <w:r>
        <w:t xml:space="preserve">Producer side for three of these rows:</w:t>
      </w:r>
      <w:r>
        <w:t xml:space="preserve"> </w:t>
      </w:r>
      <w:hyperlink r:id="rId16">
        <w:r>
          <w:rPr>
            <w:rStyle w:val="Hyperlink"/>
          </w:rPr>
          <w:t xml:space="preserve">Secure development</w:t>
        </w:r>
      </w:hyperlink>
      <w:r>
        <w:t xml:space="preserve"> </w:t>
      </w:r>
      <w:r>
        <w:t xml:space="preserve">carries the data</w:t>
      </w:r>
      <w:r>
        <w:t xml:space="preserve"> </w:t>
      </w:r>
      <w:r>
        <w:t xml:space="preserve">flow diagram and the testing regime;</w:t>
      </w:r>
      <w:r>
        <w:t xml:space="preserve"> </w:t>
      </w:r>
      <w:hyperlink r:id="rId17">
        <w:r>
          <w:rPr>
            <w:rStyle w:val="Hyperlink"/>
          </w:rPr>
          <w:t xml:space="preserve">Dependency integrity</w:t>
        </w:r>
      </w:hyperlink>
      <w:r>
        <w:t xml:space="preserve"> </w:t>
      </w:r>
      <w:r>
        <w:t xml:space="preserve">carries the</w:t>
      </w:r>
      <w:r>
        <w:t xml:space="preserve"> </w:t>
      </w:r>
      <w:r>
        <w:t xml:space="preserve">SBOM, with the dated citation behind the runtime-versus-build distinction.</w:t>
      </w:r>
    </w:p>
    <w:p>
      <w:r>
        <w:pict>
          <v:rect style="width:0;height:1.5pt" o:hralign="center" o:hrstd="t" o:hr="t"/>
        </w:pict>
      </w:r>
    </w:p>
    <w:bookmarkEnd w:id="18"/>
    <w:bookmarkStart w:id="19" w:name="X47b6f90d36b143c14e13657501074bc075993f0"/>
    <w:p>
      <w:pPr>
        <w:pStyle w:val="Heading2"/>
      </w:pPr>
      <w:r>
        <w:t xml:space="preserve">Legal instruments: evidence about who pays when it goes wrong</w:t>
      </w:r>
    </w:p>
    <w:p>
      <w:pPr>
        <w:pStyle w:val="FirstParagraph"/>
      </w:pPr>
      <w:r>
        <w:t xml:space="preserve">These allocate liability; they do not establish security. A complete set of them tells you what</w:t>
      </w:r>
      <w:r>
        <w:t xml:space="preserve"> </w:t>
      </w:r>
      <w:r>
        <w:t xml:space="preserve">happens after a failure and nothing about its likelihood. Read them for their clock definitions and</w:t>
      </w:r>
      <w:r>
        <w:t xml:space="preserve"> </w:t>
      </w:r>
      <w:r>
        <w:t xml:space="preserve">notification paths, which is where they are weakest and always checkable.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item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What it does not prove</w:t>
            </w:r>
          </w:p>
        </w:tc>
        <w:tc>
          <w:tcPr/>
          <w:p>
            <w:pPr>
              <w:pStyle w:val="Compact"/>
            </w:pPr>
            <w:r>
              <w:t xml:space="preserve">What to 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vulnerability remediation commitment (the SLA)</w:t>
            </w:r>
          </w:p>
        </w:tc>
        <w:tc>
          <w:tcPr/>
          <w:p>
            <w:pPr>
              <w:pStyle w:val="Compact"/>
            </w:pPr>
            <w:r>
              <w:t xml:space="preserve">An agreed maximum elapsed time, and a contractual remedy if it is missed</w:t>
            </w:r>
          </w:p>
        </w:tc>
        <w:tc>
          <w:tcPr/>
          <w:p>
            <w:pPr>
              <w:pStyle w:val="Compact"/>
            </w:pPr>
            <w:r>
              <w:t xml:space="preserve">That anything is fixed faster</w:t>
            </w:r>
          </w:p>
        </w:tc>
        <w:tc>
          <w:tcPr/>
          <w:p>
            <w:pPr>
              <w:pStyle w:val="Compact"/>
            </w:pPr>
            <w:r>
              <w:t xml:space="preserve">When does the clock start, when does it stop, and how does a reporter reach a human outside business hours?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incident response plan</w:t>
            </w:r>
          </w:p>
        </w:tc>
        <w:tc>
          <w:tcPr/>
          <w:p>
            <w:pPr>
              <w:pStyle w:val="Compact"/>
            </w:pPr>
            <w:r>
              <w:t xml:space="preserve">That a written plan exists, with named roles and a notification path</w:t>
            </w:r>
          </w:p>
        </w:tc>
        <w:tc>
          <w:tcPr/>
          <w:p>
            <w:pPr>
              <w:pStyle w:val="Compact"/>
            </w:pPr>
            <w:r>
              <w:t xml:space="preserve">That anyone has ever executed it</w:t>
            </w:r>
          </w:p>
        </w:tc>
        <w:tc>
          <w:tcPr/>
          <w:p>
            <w:pPr>
              <w:pStyle w:val="Compact"/>
            </w:pPr>
            <w:r>
              <w:t xml:space="preserve">The date of the last exercise, and what changed as a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Data-handling agreements</w:t>
            </w:r>
            <w:r>
              <w:t xml:space="preserve"> </w:t>
            </w:r>
            <w:r>
              <w:t xml:space="preserve">-- a data processing agreement and its sector equivalents, such as a business associate agreement</w:t>
            </w:r>
          </w:p>
        </w:tc>
        <w:tc>
          <w:tcPr/>
          <w:p>
            <w:pPr>
              <w:pStyle w:val="Compact"/>
            </w:pPr>
            <w:r>
              <w:t xml:space="preserve">Who may process the data, for what purpose, through which subprocessors, and who must notify whom within what time</w:t>
            </w:r>
          </w:p>
        </w:tc>
        <w:tc>
          <w:tcPr/>
          <w:p>
            <w:pPr>
              <w:pStyle w:val="Compact"/>
            </w:pPr>
            <w:r>
              <w:t xml:space="preserve">That the processing is secure. It allocates duty and liability, which is a different thing</w:t>
            </w:r>
          </w:p>
        </w:tc>
        <w:tc>
          <w:tcPr/>
          <w:p>
            <w:pPr>
              <w:pStyle w:val="Compact"/>
            </w:pPr>
            <w:r>
              <w:t xml:space="preserve">The current subprocessor list, how you are told when it changes, and where the breach-notification clock starts</w:t>
            </w:r>
          </w:p>
        </w:tc>
      </w:tr>
    </w:tbl>
    <w:p>
      <w:pPr>
        <w:pStyle w:val="BodyText"/>
      </w:pPr>
      <w:r>
        <w:t xml:space="preserve">Two failure points, both common: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 SLA fails at the clock's start point, not at the number.</w:t>
      </w:r>
      <w:r>
        <w:t xml:space="preserve"> </w:t>
      </w:r>
      <w:r>
        <w:t xml:space="preserve">A commitment whose clock starts</w:t>
      </w:r>
      <w:r>
        <w:t xml:space="preserve"> </w:t>
      </w:r>
      <w:r>
        <w:t xml:space="preserve">when the vendor accepts triage is unbounded, whatever the number on it. And "patch released" is</w:t>
      </w:r>
      <w:r>
        <w:t xml:space="preserve"> </w:t>
      </w:r>
      <w:r>
        <w:t xml:space="preserve">not "patch deployed" -- for software you run yourself, the deployment is your side of the 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plan with no exercise date is a document, not a capability.</w:t>
      </w:r>
    </w:p>
    <w:p>
      <w:pPr>
        <w:pStyle w:val="FirstParagraph"/>
      </w:pPr>
      <w:r>
        <w:t xml:space="preserve">Producer side:</w:t>
      </w:r>
      <w:r>
        <w:t xml:space="preserve"> </w:t>
      </w:r>
      <w:hyperlink r:id="rId16">
        <w:r>
          <w:rPr>
            <w:rStyle w:val="Hyperlink"/>
          </w:rPr>
          <w:t xml:space="preserve">Secure development</w:t>
        </w:r>
      </w:hyperlink>
      <w:r>
        <w:t xml:space="preserve"> </w:t>
      </w:r>
      <w:r>
        <w:t xml:space="preserve">carries the disclosure path and the</w:t>
      </w:r>
      <w:r>
        <w:t xml:space="preserve"> </w:t>
      </w:r>
      <w:r>
        <w:t xml:space="preserve">remediation clock.</w:t>
      </w:r>
    </w:p>
    <w:p>
      <w:r>
        <w:pict>
          <v:rect style="width:0;height:1.5pt" o:hralign="center" o:hrstd="t" o:hr="t"/>
        </w:pict>
      </w:r>
    </w:p>
    <w:bookmarkEnd w:id="19"/>
    <w:bookmarkStart w:id="20" w:name="what-this-page-does-not-do"/>
    <w:p>
      <w:pPr>
        <w:pStyle w:val="Heading2"/>
      </w:pPr>
      <w:r>
        <w:t xml:space="preserve">What this page does not 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lists at least the items a buyer commonly asks for, and is not a complete diligence list.</w:t>
      </w:r>
      <w:r>
        <w:t xml:space="preserve"> </w:t>
      </w:r>
      <w:r>
        <w:t xml:space="preserve">Matching nothing here is not clearance, and producing everything here is not approval.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legal advice.</w:t>
      </w:r>
      <w:r>
        <w:t xml:space="preserve"> </w:t>
      </w:r>
      <w:r>
        <w:t xml:space="preserve">What you are able to require is decided by a contract clause, not by a web</w:t>
      </w:r>
      <w:r>
        <w:t xml:space="preserve"> </w:t>
      </w:r>
      <w:r>
        <w:t xml:space="preserve">page. Nothing here has been reviewed by counsel.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assessor, tool, format or vendor is named.</w:t>
      </w:r>
      <w:r>
        <w:t xml:space="preserve"> </w:t>
      </w:r>
      <w:r>
        <w:t xml:space="preserve">The rows describe instruments, not the market</w:t>
      </w:r>
      <w:r>
        <w:t xml:space="preserve"> </w:t>
      </w:r>
      <w:r>
        <w:t xml:space="preserve">that sells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status, version or edition claim appears here.</w:t>
      </w:r>
      <w:r>
        <w:t xml:space="preserve"> </w:t>
      </w:r>
      <w:r>
        <w:t xml:space="preserve">Those live on the reference page, each</w:t>
      </w:r>
      <w:r>
        <w:t xml:space="preserve"> </w:t>
      </w:r>
      <w:r>
        <w:t xml:space="preserve">carrying the date it was checked, so a stale fact is visible as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complete packet is not a secure product, and a thin packet is not an insecure one.</w:t>
      </w:r>
      <w:r>
        <w:t xml:space="preserve"> </w:t>
      </w:r>
      <w:r>
        <w:t xml:space="preserve">Both are</w:t>
      </w:r>
      <w:r>
        <w:t xml:space="preserve"> </w:t>
      </w:r>
      <w:r>
        <w:t xml:space="preserve">evidence about what you are able to check, which is a more modest thing than either side of a</w:t>
      </w:r>
      <w:r>
        <w:t xml:space="preserve"> </w:t>
      </w:r>
      <w:r>
        <w:t xml:space="preserve">procurement conversation usually wants it to be.</w:t>
      </w:r>
    </w:p>
    <w:p>
      <w:r>
        <w:pict>
          <v:rect style="width:0;height:1.5pt" o:hralign="center" o:hrstd="t" o:hr="t"/>
        </w:pict>
      </w:r>
    </w:p>
    <w:bookmarkEnd w:id="20"/>
    <w:bookmarkStart w:id="25" w:name="where-to-go-next"/>
    <w:p>
      <w:pPr>
        <w:pStyle w:val="Heading2"/>
      </w:pPr>
      <w:r>
        <w:t xml:space="preserve">Where to go next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need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of these reach your own organization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Which standards apply to you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One row per document, as a lookup, with statuses and dates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Security standards reference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What to require of your own developers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The CISO summary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process a build must satisfy, including dynamic testing, the data flow diagram and disclosure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Secure development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SBOM, provenance, and what gets published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Dependency integrity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Whether a written rule can actually stop a change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Automated compliance in CI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None of this certifies anything.</w:t>
      </w:r>
      <w:r>
        <w:t xml:space="preserve"> </w:t>
      </w:r>
      <w:r>
        <w:t xml:space="preserve">MIT licensed. Adapt it, put your own name on it, and delete</w:t>
      </w:r>
      <w:r>
        <w:t xml:space="preserve"> </w:t>
      </w:r>
      <w:r>
        <w:t xml:space="preserve">anything you cannot stand behind.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CI-ENFORCEMENT.md" TargetMode="External" /><Relationship Type="http://schemas.openxmlformats.org/officeDocument/2006/relationships/hyperlink" Id="rId23" Target="CISO-SUMMARY.md" TargetMode="External" /><Relationship Type="http://schemas.openxmlformats.org/officeDocument/2006/relationships/hyperlink" Id="rId17" Target="DEPENDENCY-INTEGRITY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16" Target="SECURE-DEVELOPMENT.md" TargetMode="External" /><Relationship Type="http://schemas.openxmlformats.org/officeDocument/2006/relationships/hyperlink" Id="rId22" Target="STANDARDS-REFERENCE.md" TargetMode="External" /><Relationship Type="http://schemas.openxmlformats.org/officeDocument/2006/relationships/hyperlink" Id="rId13" Target="STANDARDS-REFERENCE.md#the-organization-layer-is-not-the-software-layer" TargetMode="External" /><Relationship Type="http://schemas.openxmlformats.org/officeDocument/2006/relationships/hyperlink" Id="rId21" Target="WHICH-STANDARDS-APPLY.md" TargetMode="External" /><Relationship Type="http://schemas.openxmlformats.org/officeDocument/2006/relationships/hyperlink" Id="rId9" Target="https://raw.githubusercontent.com/wshallwshall/claude-multisession/main/docs/standards/DILIGENCE-PACKET.md" TargetMode="External" /><Relationship Type="http://schemas.openxmlformats.org/officeDocument/2006/relationships/hyperlink" Id="rId10" Target="https://raw.githubusercontent.com/wshallwshall/claude-multisession/main/docs/standards/word/DILIGENCE-PACKE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-ENFORCEMENT.md" TargetMode="External" /><Relationship Type="http://schemas.openxmlformats.org/officeDocument/2006/relationships/hyperlink" Id="rId23" Target="CISO-SUMMARY.md" TargetMode="External" /><Relationship Type="http://schemas.openxmlformats.org/officeDocument/2006/relationships/hyperlink" Id="rId17" Target="DEPENDENCY-INTEGRITY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16" Target="SECURE-DEVELOPMENT.md" TargetMode="External" /><Relationship Type="http://schemas.openxmlformats.org/officeDocument/2006/relationships/hyperlink" Id="rId22" Target="STANDARDS-REFERENCE.md" TargetMode="External" /><Relationship Type="http://schemas.openxmlformats.org/officeDocument/2006/relationships/hyperlink" Id="rId13" Target="STANDARDS-REFERENCE.md#the-organization-layer-is-not-the-software-layer" TargetMode="External" /><Relationship Type="http://schemas.openxmlformats.org/officeDocument/2006/relationships/hyperlink" Id="rId21" Target="WHICH-STANDARDS-APPLY.md" TargetMode="External" /><Relationship Type="http://schemas.openxmlformats.org/officeDocument/2006/relationships/hyperlink" Id="rId9" Target="https://raw.githubusercontent.com/wshallwshall/claude-multisession/main/docs/standards/DILIGENCE-PACKET.md" TargetMode="External" /><Relationship Type="http://schemas.openxmlformats.org/officeDocument/2006/relationships/hyperlink" Id="rId10" Target="https://raw.githubusercontent.com/wshallwshall/claude-multisession/main/docs/standards/word/DILIGENCE-PACKE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2026-08-07T23:13:29Z</dcterms:created>
  <dcterms:modified xsi:type="dcterms:W3CDTF">2026-08-07T23:13:29Z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