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you, this one answers what</w:t>
      </w:r>
      <w:r>
        <w:rPr>
          <w:b/>
          <w:bCs/>
        </w:rPr>
        <w:t xml:space="preserve"> </w:t>
      </w:r>
      <w:r>
        <w:rPr>
          <w:b/>
          <w:bCs/>
        </w:rPr>
        <w:t xml:space="preserve">a buyer will ask you to produce -- and what each item actually 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mistake-this-page-exists-to-prevent"/>
    <w:p>
      <w:pPr>
        <w:pStyle w:val="Heading2"/>
      </w:pPr>
      <w:r>
        <w:t xml:space="preserve">The mistake this page exists to prevent</w:t>
      </w:r>
    </w:p>
    <w:p>
      <w:pPr>
        <w:pStyle w:val="FirstParagraph"/>
      </w:pPr>
      <w:r>
        <w:t xml:space="preserve">The commonest failure in vendor diligence is accepting organization-layer evidence as software-layer</w:t>
      </w:r>
      <w:r>
        <w:t xml:space="preserve"> </w:t>
      </w:r>
      <w:r>
        <w:t xml:space="preserve">evidence. A buyer asks for an audit report or a certificate, receives one, and reads it as an answer</w:t>
      </w:r>
      <w:r>
        <w:t xml:space="preserve"> </w:t>
      </w:r>
      <w:r>
        <w:t xml:space="preserve">about the product. It is not. The examination looked at how a company runs itself -- its policies,</w:t>
      </w:r>
      <w:r>
        <w:t xml:space="preserve"> </w:t>
      </w:r>
      <w:r>
        <w:t xml:space="preserve">its access reviews, its change management -- and never opened the code. A vendor can hold a flawless</w:t>
      </w:r>
      <w:r>
        <w:t xml:space="preserve"> </w:t>
      </w:r>
      <w:r>
        <w:t xml:space="preserve">report across a full twelve-month period and ship software with an authorization flaw in it, and</w:t>
      </w:r>
      <w:r>
        <w:t xml:space="preserve"> </w:t>
      </w:r>
      <w:r>
        <w:t xml:space="preserve">nothing in the report is false.</w:t>
      </w:r>
    </w:p>
    <w:p>
      <w:pPr>
        <w:pStyle w:val="BodyText"/>
      </w:pPr>
      <w:r>
        <w:t xml:space="preserve">That is not a reason to dismiss these instruments. What they establish -- that somebody outside the</w:t>
      </w:r>
      <w:r>
        <w:t xml:space="preserve"> </w:t>
      </w:r>
      <w:r>
        <w:t xml:space="preserve">company examined how it governs itself, grants access and manages change, and wrote down what they</w:t>
      </w:r>
      <w:r>
        <w:t xml:space="preserve"> </w:t>
      </w:r>
      <w:r>
        <w:t xml:space="preserve">found -- is worth having, and a vendor holding none of them is a different risk entirely. The</w:t>
      </w:r>
      <w:r>
        <w:t xml:space="preserve"> </w:t>
      </w:r>
      <w:r>
        <w:t xml:space="preserve">failure is narrower: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So the groups below are sorted by layer, which is the cut that makes the mistake visible: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Every row carries what it proves, what it does not prove, and the one question that makes it useful.</w:t>
      </w:r>
      <w:r>
        <w:t xml:space="preserve"> </w:t>
      </w:r>
      <w:r>
        <w:t xml:space="preserve">These are at least the items a buyer commonly asks for, not a complete list.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These are the instruments a procurement team already knows how to ask for, and each is issued by a</w:t>
      </w:r>
      <w:r>
        <w:t xml:space="preserve"> </w:t>
      </w:r>
      <w:r>
        <w:t xml:space="preserve">party other than the vendor -- which is where their weight comes from, and none of that weight is</w:t>
      </w:r>
      <w:r>
        <w:t xml:space="preserve"> </w:t>
      </w:r>
      <w:r>
        <w:t xml:space="preserve">about the product. At least these five. One caveat governs all of them: an examination or a</w:t>
      </w:r>
      <w:r>
        <w:t xml:space="preserve"> </w:t>
      </w:r>
      <w:r>
        <w:t xml:space="preserve">certification has a boundary, and software you install and run yourself frequently falls outside it.</w:t>
      </w:r>
      <w:r>
        <w:t xml:space="preserve"> </w:t>
      </w:r>
      <w:r>
        <w:t xml:space="preserve">That shows in the scope statement and nowhere else, which is why every row's last column sends you</w:t>
      </w:r>
      <w:r>
        <w:t xml:space="preserve"> </w:t>
      </w:r>
      <w:r>
        <w:t xml:space="preserve">to a document rather than to a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examination report, point-in-time (SOC 2 Type I)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examination report over a period (SOC 2 Type II)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It is an attestation report, not a certificate -- there is no pass mark. If what you buy is distributed software rather than a hosted service, the product can sit outside the scope boundary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 Those two passages are the report; an examination period that produced no exception at all is itself worth a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management-system certificate (ISO/IEC 27001)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scope. The standards publisher itself issues nothing</w:t>
            </w:r>
          </w:p>
        </w:tc>
        <w:tc>
          <w:tcPr/>
          <w:p>
            <w:pPr>
              <w:pStyle w:val="Compact"/>
            </w:pPr>
            <w:r>
              <w:t xml:space="preserve">It is not "the international SOC 2" -- a different instrument with a different failure mode, an opinion plus exceptions versus a certificate plus a scope statement. It certifies a management system, not a product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 A single office or one business unit is an ordinary scope to hold, and it is narrower than a reader takes it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validated assessment of controls and environment (HITRUST CSF)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What is assessed is an organization's controls and environment. The environment operating software can be assessed; distributable software itself is not what gets certified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 The lower tiers are published as fixed core control sets while the highest is tailored and risk-based, so a tier name on its own does not say how much was looked at. Ask for tier and scope, never control text -- the framework's text is licensed. It sits in the same set as the row below, and no more should be read into it than into any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instruments, as a set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rules. At least these four sit in this set together and none of them outranks the others: a PCI DSS validation document, a FedRAMP authorization, a StateRAMP authorization, and a CJIS policy audit -- alongside the row above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The body that writes such a standard is often not the body that sets your validation requirement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and is the offering you are buying the one that was named?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exception, and it is why that row is the strongest thing in this</w:t>
      </w:r>
      <w:r>
        <w:t xml:space="preserve"> </w:t>
      </w:r>
      <w:r>
        <w:t xml:space="preserve">group: an external assessment or a penetration test is written by somebody independent of the team</w:t>
      </w:r>
      <w:r>
        <w:t xml:space="preserve"> </w:t>
      </w:r>
      <w:r>
        <w:t xml:space="preserve">that wrote the code, which makes it the one software-layer item a third party issues. You have to</w:t>
      </w:r>
      <w:r>
        <w:t xml:space="preserve"> </w:t>
      </w:r>
      <w:r>
        <w:t xml:space="preserve">ask for it by name, because a vendor asked for "testing evidence" will usually hand over the output</w:t>
      </w:r>
      <w:r>
        <w:t xml:space="preserve"> </w:t>
      </w:r>
      <w:r>
        <w:t xml:space="preserve">of its own tooling. At least these four. This site publishes the producer-side control behind three</w:t>
      </w:r>
      <w:r>
        <w:t xml:space="preserve"> </w:t>
      </w:r>
      <w:r>
        <w:t xml:space="preserve">of them; the rows link out rather than restating it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An SBOM establishes what is in the build, never that it is safe, and a conforming one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 And for a hosted platform, is it an SBOM of the runtime production environment rather than a build-time source manifest? Those two answer different questions, and only one of them describes what is running. Producer side, with the dated citation behind that distinction: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boundary, which is where a control has to exist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A data flow diagram without marked trust boundaries is a diagram, not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 Then: what was in scope, which version was tested, and what triggers the next run -- a change, or a date on a calendar?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 At least these three.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faster. An SLA fails at the clock's start point, not at the number: a commitment whose clock starts when the vendor accepts triage is unbounded, whatever the number on it. And "patch released" is not "patch deployed" -- for software you run yourself, the deployment is your side of the line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result. A plan with no exercise date is a document, not a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time. One row for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if-you-only-ask-three-things"/>
    <w:p>
      <w:pPr>
        <w:pStyle w:val="Heading2"/>
      </w:pPr>
      <w:r>
        <w:t xml:space="preserve">If you only ask three things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scope statement of whatever organization-layer instrument they offered.</w:t>
      </w:r>
      <w:r>
        <w:t xml:space="preserve"> </w:t>
      </w:r>
      <w:r>
        <w:t xml:space="preserve">Not the</w:t>
      </w:r>
      <w:r>
        <w:t xml:space="preserve"> </w:t>
      </w:r>
      <w:r>
        <w:t xml:space="preserve">certificate, not the cover page -- the scope. It alone decides whether the thing you are buying</w:t>
      </w:r>
      <w:r>
        <w:t xml:space="preserve"> </w:t>
      </w:r>
      <w:r>
        <w:t xml:space="preserve">was inside the examination at all, and for distributed software the answer is frequently 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SBOM of the artifact or environment you will actually run.</w:t>
      </w:r>
      <w:r>
        <w:t xml:space="preserve"> </w:t>
      </w:r>
      <w:r>
        <w:t xml:space="preserve">For an installed product that</w:t>
      </w:r>
      <w:r>
        <w:t xml:space="preserve"> </w:t>
      </w:r>
      <w:r>
        <w:t xml:space="preserve">is the released artifact; for a hosted service it is the runtime production environment, not a</w:t>
      </w:r>
      <w:r>
        <w:t xml:space="preserve"> </w:t>
      </w:r>
      <w:r>
        <w:t xml:space="preserve">build-time manifest. Those answer different questions, and only one describes what is running.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dates: the last dynamic test, and the last incident response exercise -- and who ran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one.</w:t>
      </w:r>
      <w:r>
        <w:t xml:space="preserve"> </w:t>
      </w:r>
      <w:r>
        <w:t xml:space="preserve">Both dates are trivial to supply if they happened, and neither can be produced</w:t>
      </w:r>
      <w:r>
        <w:t xml:space="preserve"> </w:t>
      </w:r>
      <w:r>
        <w:t xml:space="preserve">retrospectively. The name behind the test decides whether you have vendor tooling output or an</w:t>
      </w:r>
      <w:r>
        <w:t xml:space="preserve"> </w:t>
      </w:r>
      <w:r>
        <w:t xml:space="preserve">independent look.</w:t>
      </w:r>
    </w:p>
    <w:p>
      <w:pPr>
        <w:pStyle w:val="FirstParagraph"/>
      </w:pPr>
      <w:r>
        <w:t xml:space="preserve">The reason these three and not others: each is a document or a date that either exists or does not,</w:t>
      </w:r>
      <w:r>
        <w:t xml:space="preserve"> </w:t>
      </w:r>
      <w:r>
        <w:t xml:space="preserve">and none of them can be answered with an adjective.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least these, and not a complete diligence list.</w:t>
      </w:r>
      <w:r>
        <w:t xml:space="preserve"> </w:t>
      </w:r>
      <w:r>
        <w:t xml:space="preserve">Matching nothing here is not clearance, and</w:t>
      </w:r>
      <w:r>
        <w:t xml:space="preserve"> </w:t>
      </w:r>
      <w:r>
        <w:t xml:space="preserve">producing everything here is not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2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2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2026-08-06T18:03:30Z</dcterms:created>
  <dcterms:modified xsi:type="dcterms:W3CDTF">2026-08-06T18:03:30Z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