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76" w:name="X5370d31d3472698b00807739590c410bbd140c1"/>
    <w:p>
      <w:pPr>
        <w:pStyle w:val="Heading1"/>
      </w:pPr>
      <w:r>
        <w:t xml:space="preserve">Secure development: the process a build must satisfy</w:t>
      </w:r>
    </w:p>
    <w:p>
      <w:pPr>
        <w:pStyle w:val="FirstParagraph"/>
      </w:pPr>
      <w:r>
        <w:t xml:space="preserve">This is a starting point you adapt, not a compliance attestation. It describes the process a build</w:t>
      </w:r>
      <w:r>
        <w:t xml:space="preserve"> </w:t>
      </w:r>
      <w:r>
        <w:t xml:space="preserve">has to satisfy before you can honestly say it was built securely.</w:t>
      </w:r>
    </w:p>
    <w:p>
      <w:pPr>
        <w:pStyle w:val="BodyText"/>
      </w:pPr>
      <w:r>
        <w:t xml:space="preserve">It answers who owns what, what gets threat modelled, and what a review checks. It also answers which</w:t>
      </w:r>
      <w:r>
        <w:t xml:space="preserve"> </w:t>
      </w:r>
      <w:r>
        <w:t xml:space="preserve">checks may never be waived, how a release is signed and verifiable, and what has to be true on the</w:t>
      </w:r>
      <w:r>
        <w:t xml:space="preserve"> </w:t>
      </w:r>
      <w:r>
        <w:t xml:space="preserve">day you ship.</w:t>
      </w:r>
    </w:p>
    <w:p>
      <w:pPr>
        <w:pStyle w:val="BlockText"/>
      </w:pPr>
      <w:r>
        <w:rPr>
          <w:b/>
          <w:bCs/>
        </w:rPr>
        <w:t xml:space="preserve">Take a copy:</w:t>
      </w:r>
      <w:r>
        <w:t xml:space="preserve"> </w:t>
      </w:r>
      <w:hyperlink r:id="rId9">
        <w:r>
          <w:rPr>
            <w:rStyle w:val="Hyperlink"/>
          </w:rPr>
          <w:t xml:space="preserve">markdown</w:t>
        </w:r>
      </w:hyperlink>
      <w:r>
        <w:t xml:space="preserve"> </w:t>
      </w:r>
      <w:r>
        <w:t xml:space="preserve">or</w:t>
      </w:r>
      <w:r>
        <w:t xml:space="preserve"> </w:t>
      </w:r>
      <w:hyperlink r:id="rId10">
        <w:r>
          <w:rPr>
            <w:rStyle w:val="Hyperlink"/>
          </w:rPr>
          <w:t xml:space="preserve">Word document</w:t>
        </w:r>
      </w:hyperlink>
      <w:r>
        <w:t xml:space="preserve">.</w:t>
      </w:r>
      <w:r>
        <w:t xml:space="preserve"> </w:t>
      </w:r>
      <w:hyperlink r:id="rId11">
        <w:r>
          <w:rPr>
            <w:rStyle w:val="Hyperlink"/>
          </w:rPr>
          <w:t xml:space="preserve">Every file, both formats</w:t>
        </w:r>
      </w:hyperlink>
      <w:r>
        <w:t xml:space="preserve">.</w:t>
      </w:r>
    </w:p>
    <w:p>
      <w:pPr>
        <w:pStyle w:val="FirstParagraph"/>
      </w:pPr>
      <w:r>
        <w:t xml:space="preserve">It is deliberately framework-neutral, and it names practices, never certifications. No standards</w:t>
      </w:r>
      <w:r>
        <w:t xml:space="preserve"> </w:t>
      </w:r>
      <w:r>
        <w:t xml:space="preserve">body issues a certificate for any of this, and a self-assessment is not one either. So every claim</w:t>
      </w:r>
      <w:r>
        <w:t xml:space="preserve"> </w:t>
      </w:r>
      <w:r>
        <w:t xml:space="preserve">here is phrased as something you can evidence rather than something you can be awarded.</w:t>
      </w:r>
    </w:p>
    <w:p>
      <w:pPr>
        <w:pStyle w:val="BodyText"/>
      </w:pPr>
      <w:r>
        <w:t xml:space="preserve">Written for a project where much of the code is written by Claude Code, or another AI coding</w:t>
      </w:r>
      <w:r>
        <w:t xml:space="preserve"> </w:t>
      </w:r>
      <w:r>
        <w:t xml:space="preserve">assistant, and several sessions push into one trunk. That is not a special case for this material.</w:t>
      </w:r>
      <w:r>
        <w:t xml:space="preserve"> </w:t>
      </w:r>
      <w:r>
        <w:t xml:space="preserve">It is the case where the process layer stops being paperwork, because the machine-enforced layer</w:t>
      </w:r>
      <w:r>
        <w:t xml:space="preserve"> </w:t>
      </w:r>
      <w:r>
        <w:t xml:space="preserve">gets cheap and the human layer does not.</w:t>
      </w:r>
    </w:p>
    <w:p>
      <w:r>
        <w:pict>
          <v:rect style="width:0;height:1.5pt" o:hralign="center" o:hrstd="t" o:hr="t"/>
        </w:pict>
      </w:r>
    </w:p>
    <w:bookmarkStart w:id="14" w:name="where-the-rules-come-from"/>
    <w:p>
      <w:pPr>
        <w:pStyle w:val="Heading2"/>
      </w:pPr>
      <w:r>
        <w:t xml:space="preserve">Where the rules come from</w:t>
      </w:r>
    </w:p>
    <w:p>
      <w:pPr>
        <w:pStyle w:val="FirstParagraph"/>
      </w:pPr>
      <w:r>
        <w:t xml:space="preserve">Most of what follows is this document's own reasoning about what a small producing team can actually</w:t>
      </w:r>
      <w:r>
        <w:t xml:space="preserve"> </w:t>
      </w:r>
      <w:r>
        <w:t xml:space="preserve">execute. Where a rule was borrowed, it was borrowed from, at least, these. Each publication's status,</w:t>
      </w:r>
      <w:r>
        <w:t xml:space="preserve"> </w:t>
      </w:r>
      <w:r>
        <w:t xml:space="preserve">its date, and the date that status was last checked are in</w:t>
      </w:r>
      <w:r>
        <w:t xml:space="preserve"> </w:t>
      </w:r>
      <w:hyperlink w:anchor="sources">
        <w:r>
          <w:rPr>
            <w:rStyle w:val="Hyperlink"/>
            <w:b/>
            <w:bCs/>
          </w:rPr>
          <w:t xml:space="preserve">Sources</w:t>
        </w:r>
      </w:hyperlink>
      <w:r>
        <w:t xml:space="preserve"> </w:t>
      </w:r>
      <w:r>
        <w:t xml:space="preserve">at the bottom, in</w:t>
      </w:r>
      <w:r>
        <w:t xml:space="preserve"> </w:t>
      </w:r>
      <w:r>
        <w:t xml:space="preserve">one table and nowhere else, so a status re-check is a single-table edit rather than a sweep.</w:t>
      </w:r>
    </w:p>
    <w:p>
      <w:pPr>
        <w:pStyle w:val="Compact"/>
        <w:numPr>
          <w:ilvl w:val="0"/>
          <w:numId w:val="1001"/>
        </w:numPr>
      </w:pPr>
      <w:r>
        <w:rPr>
          <w:b/>
          <w:bCs/>
        </w:rPr>
        <w:t xml:space="preserve">NIST SP 800-218 v1.1, Secure Software Development Framework (SSDF).</w:t>
      </w:r>
      <w:r>
        <w:t xml:space="preserve"> </w:t>
      </w:r>
      <w:r>
        <w:t xml:space="preserve">The only one of these</w:t>
      </w:r>
      <w:r>
        <w:t xml:space="preserve"> </w:t>
      </w:r>
      <w:r>
        <w:t xml:space="preserve">written for a software</w:t>
      </w:r>
      <w:r>
        <w:t xml:space="preserve"> </w:t>
      </w:r>
      <w:r>
        <w:rPr>
          <w:b/>
          <w:bCs/>
        </w:rPr>
        <w:t xml:space="preserve">producer</w:t>
      </w:r>
      <w:r>
        <w:t xml:space="preserve"> </w:t>
      </w:r>
      <w:r>
        <w:t xml:space="preserve">rather than a system operator, so it is the outcome layer: it</w:t>
      </w:r>
      <w:r>
        <w:t xml:space="preserve"> </w:t>
      </w:r>
      <w:r>
        <w:t xml:space="preserve">states things like dynamic testing of the built artifact and a secure build environment as outcomes</w:t>
      </w:r>
      <w:r>
        <w:t xml:space="preserve"> </w:t>
      </w:r>
      <w:r>
        <w:t xml:space="preserve">the producer owns. No rule below carries an SSDF mark, and that is deliberate rather than an</w:t>
      </w:r>
      <w:r>
        <w:t xml:space="preserve"> </w:t>
      </w:r>
      <w:r>
        <w:t xml:space="preserve">oversight -- where a rule restates one of those outcomes, the specific text it restates was read in</w:t>
      </w:r>
      <w:r>
        <w:t xml:space="preserve"> </w:t>
      </w:r>
      <w:r>
        <w:t xml:space="preserve">an 800-53 control, and a mark points at the publication whose text was actually opened. The sources</w:t>
      </w:r>
      <w:r>
        <w:t xml:space="preserve"> </w:t>
      </w:r>
      <w:r>
        <w:t xml:space="preserve">table records which practices sit behind which rules.</w:t>
      </w:r>
    </w:p>
    <w:p>
      <w:pPr>
        <w:pStyle w:val="Compact"/>
        <w:numPr>
          <w:ilvl w:val="0"/>
          <w:numId w:val="1001"/>
        </w:numPr>
      </w:pPr>
      <w:r>
        <w:rPr>
          <w:b/>
          <w:bCs/>
        </w:rPr>
        <w:t xml:space="preserve">NIST SP 800-53 Rev. 5, Security and Privacy Controls for Information Systems and</w:t>
      </w:r>
      <w:r>
        <w:rPr>
          <w:b/>
          <w:bCs/>
        </w:rPr>
        <w:t xml:space="preserve"> </w:t>
      </w:r>
      <w:r>
        <w:rPr>
          <w:b/>
          <w:bCs/>
        </w:rPr>
        <w:t xml:space="preserve">Organizations, as maintained by Release 5.2.0 (2025-08-27).</w:t>
      </w:r>
      <w:r>
        <w:t xml:space="preserve"> </w:t>
      </w:r>
      <w:r>
        <w:t xml:space="preserve">It supplies the specific, quotable</w:t>
      </w:r>
      <w:r>
        <w:t xml:space="preserve"> </w:t>
      </w:r>
      <w:r>
        <w:t xml:space="preserve">control text where the SSDF states only an outcome, cited by control identifier. Always name the</w:t>
      </w:r>
      <w:r>
        <w:t xml:space="preserve"> </w:t>
      </w:r>
      <w:r>
        <w:t xml:space="preserve">release -- see the version trap below.</w:t>
      </w:r>
    </w:p>
    <w:p>
      <w:pPr>
        <w:pStyle w:val="Compact"/>
        <w:numPr>
          <w:ilvl w:val="0"/>
          <w:numId w:val="1001"/>
        </w:numPr>
      </w:pPr>
      <w:r>
        <w:rPr>
          <w:b/>
          <w:bCs/>
        </w:rPr>
        <w:t xml:space="preserve">NIST SP 800-115, Technical Guide to Information Security Testing and Assessment.</w:t>
      </w:r>
      <w:r>
        <w:t xml:space="preserve"> </w:t>
      </w:r>
      <w:r>
        <w:t xml:space="preserve">Cited here for</w:t>
      </w:r>
      <w:r>
        <w:t xml:space="preserve"> </w:t>
      </w:r>
      <w:r>
        <w:t xml:space="preserve">its process material only -- the rules-of-engagement template for an external engagement, and the</w:t>
      </w:r>
      <w:r>
        <w:t xml:space="preserve"> </w:t>
      </w:r>
      <w:r>
        <w:t xml:space="preserve">caveat that a retest verifies a fix only if the confirming run is a mirror copy of the original. It</w:t>
      </w:r>
      <w:r>
        <w:t xml:space="preserve"> </w:t>
      </w:r>
      <w:r>
        <w:t xml:space="preserve">is eighteen years old; its technique and tooling inventory is not current and nothing here borrows</w:t>
      </w:r>
      <w:r>
        <w:t xml:space="preserve"> </w:t>
      </w:r>
      <w:r>
        <w:t xml:space="preserve">from it.</w:t>
      </w:r>
    </w:p>
    <w:p>
      <w:pPr>
        <w:pStyle w:val="Compact"/>
        <w:numPr>
          <w:ilvl w:val="0"/>
          <w:numId w:val="1001"/>
        </w:numPr>
      </w:pPr>
      <w:r>
        <w:rPr>
          <w:b/>
          <w:bCs/>
        </w:rPr>
        <w:t xml:space="preserve">FIPS 199, Standards for Security Categorization.</w:t>
      </w:r>
      <w:r>
        <w:t xml:space="preserve"> </w:t>
      </w:r>
      <w:r>
        <w:t xml:space="preserve">One page of vocabulary: three security</w:t>
      </w:r>
      <w:r>
        <w:t xml:space="preserve"> </w:t>
      </w:r>
      <w:r>
        <w:t xml:space="preserve">objectives against three impact levels, plus the high-water-mark roll-up for a collection.</w:t>
      </w:r>
    </w:p>
    <w:p>
      <w:pPr>
        <w:pStyle w:val="FirstParagraph"/>
      </w:pPr>
      <w:r>
        <w:rPr>
          <w:b/>
          <w:bCs/>
        </w:rPr>
        <w:t xml:space="preserve">Name the release, not just the revision, and record the date you checked.</w:t>
      </w:r>
      <w:r>
        <w:t xml:space="preserve"> </w:t>
      </w:r>
      <w:r>
        <w:t xml:space="preserve">"SP 800-53 Rev. 5"</w:t>
      </w:r>
      <w:r>
        <w:t xml:space="preserve"> </w:t>
      </w:r>
      <w:r>
        <w:t xml:space="preserve">today names two artifacts that disagree. The PDF served under that title carries content dated</w:t>
      </w:r>
      <w:r>
        <w:t xml:space="preserve"> </w:t>
      </w:r>
      <w:r>
        <w:t xml:space="preserve">September 2020 with updates as of 2020-12-10; Release 5.2.0, issued 2025-08-27, adds SA-24,</w:t>
      </w:r>
      <w:r>
        <w:t xml:space="preserve"> </w:t>
      </w:r>
      <w:r>
        <w:t xml:space="preserve">SI-02(07) and SA-15(13) and revises SI-07(12) -- none of which can appear in a document whose</w:t>
      </w:r>
      <w:r>
        <w:t xml:space="preserve"> </w:t>
      </w:r>
      <w:r>
        <w:t xml:space="preserve">content predates them -- while the file name and the title are unchanged. So a citation reading</w:t>
      </w:r>
      <w:r>
        <w:t xml:space="preserve"> </w:t>
      </w:r>
      <w:r>
        <w:t xml:space="preserve">"SA-24, SP 800-53 Rev. 5" is simultaneously correct and unresolvable by a reader who downloads the</w:t>
      </w:r>
      <w:r>
        <w:t xml:space="preserve"> </w:t>
      </w:r>
      <w:r>
        <w:t xml:space="preserve">publication. Every 800-53 citation here is to Release 5.2.0 as checked on the date recorded in the</w:t>
      </w:r>
      <w:r>
        <w:t xml:space="preserve"> </w:t>
      </w:r>
      <w:r>
        <w:t xml:space="preserve">sources table, and names a control present in the served PDF. The sibling rule for any revised</w:t>
      </w:r>
      <w:r>
        <w:t xml:space="preserve"> </w:t>
      </w:r>
      <w:r>
        <w:t xml:space="preserve">publication: carry the revision number as well, because a bare identifier can resolve to a superseded</w:t>
      </w:r>
      <w:r>
        <w:t xml:space="preserve"> </w:t>
      </w:r>
      <w:r>
        <w:t xml:space="preserve">or withdrawn document that still says something plausible.</w:t>
      </w:r>
    </w:p>
    <w:p>
      <w:pPr>
        <w:pStyle w:val="BodyText"/>
      </w:pPr>
      <w:r>
        <w:rPr>
          <w:b/>
          <w:bCs/>
        </w:rPr>
        <w:t xml:space="preserve">Naming these sources is not a conformance claim, and cannot become one.</w:t>
      </w:r>
      <w:r>
        <w:t xml:space="preserve"> </w:t>
      </w:r>
      <w:r>
        <w:t xml:space="preserve">They are sources this</w:t>
      </w:r>
      <w:r>
        <w:t xml:space="preserve"> </w:t>
      </w:r>
      <w:r>
        <w:t xml:space="preserve">document draws on. It claims conformance with none of them, and none of them certify anything --</w:t>
      </w:r>
      <w:r>
        <w:t xml:space="preserve"> </w:t>
      </w:r>
      <w:r>
        <w:t xml:space="preserve">no publication in that list issues a certificate, and a self-assessment is not one either. Quoting</w:t>
      </w:r>
      <w:r>
        <w:t xml:space="preserve"> </w:t>
      </w:r>
      <w:r>
        <w:t xml:space="preserve">a control's text is not a claim of conformance to the catalog it came from. The wording that</w:t>
      </w:r>
      <w:r>
        <w:t xml:space="preserve"> </w:t>
      </w:r>
      <w:r>
        <w:t xml:space="preserve">survives a reviewer is "this practice corresponds to SP 800-53 Rev. 5 control SA-11(8)" -- a named</w:t>
      </w:r>
      <w:r>
        <w:t xml:space="preserve"> </w:t>
      </w:r>
      <w:r>
        <w:t xml:space="preserve">control, checkable against one paragraph of one publication. Which wordings fail, including the ones</w:t>
      </w:r>
      <w:r>
        <w:t xml:space="preserve"> </w:t>
      </w:r>
      <w:r>
        <w:t xml:space="preserve">that name a publication rather than a control, is section 17's register; it is stated there once and</w:t>
      </w:r>
      <w:r>
        <w:t xml:space="preserve"> </w:t>
      </w:r>
      <w:r>
        <w:t xml:space="preserve">is not repeated here. For 800-53 in</w:t>
      </w:r>
      <w:r>
        <w:t xml:space="preserve"> </w:t>
      </w:r>
      <w:r>
        <w:t xml:space="preserve">particular the catalog's own notion of conformance is a selected control baseline plus an</w:t>
      </w:r>
      <w:r>
        <w:t xml:space="preserve"> </w:t>
      </w:r>
      <w:r>
        <w:t xml:space="preserve">authorization decision, and a software producer makes neither -- so the baselines, the tailoring</w:t>
      </w:r>
      <w:r>
        <w:t xml:space="preserve"> </w:t>
      </w:r>
      <w:r>
        <w:t xml:space="preserve">apparatus and the risk management framework built around the catalog are all out of scope here.</w:t>
      </w:r>
      <w:r>
        <w:t xml:space="preserve"> </w:t>
      </w:r>
      <w:r>
        <w:t xml:space="preserve">Only named control text is borrowed. Section 17 carries the full claim register.</w:t>
      </w:r>
    </w:p>
    <w:p>
      <w:pPr>
        <w:pStyle w:val="BodyText"/>
      </w:pPr>
      <w:r>
        <w:rPr>
          <w:b/>
          <w:bCs/>
        </w:rPr>
        <w:t xml:space="preserve">How borrowings are marked.</w:t>
      </w:r>
      <w:r>
        <w:t xml:space="preserve"> </w:t>
      </w:r>
      <w:r>
        <w:t xml:space="preserve">The default is inverted from a compliance matrix: an unmarked rule is</w:t>
      </w:r>
      <w:r>
        <w:t xml:space="preserve"> </w:t>
      </w:r>
      <w:r>
        <w:t xml:space="preserve">this document's own, and only a borrowing carries a mark.</w:t>
      </w:r>
      <w:r>
        <w:t xml:space="preserve"> </w:t>
      </w:r>
      <w:r>
        <w:rPr>
          <w:rStyle w:val="VerbatimChar"/>
        </w:rPr>
        <w:t xml:space="preserve">**[external]**</w:t>
      </w:r>
      <w:r>
        <w:t xml:space="preserve"> </w:t>
      </w:r>
      <w:r>
        <w:t xml:space="preserve">is empirical evidence --</w:t>
      </w:r>
      <w:r>
        <w:t xml:space="preserve"> </w:t>
      </w:r>
      <w:r>
        <w:t xml:space="preserve">a study, a measurement, a vendor's own concession.</w:t>
      </w:r>
      <w:r>
        <w:t xml:space="preserve"> </w:t>
      </w:r>
      <w:r>
        <w:rPr>
          <w:rStyle w:val="VerbatimChar"/>
        </w:rPr>
        <w:t xml:space="preserve">**[derived: &lt;code&gt;]**</w:t>
      </w:r>
      <w:r>
        <w:t xml:space="preserve"> </w:t>
      </w:r>
      <w:r>
        <w:t xml:space="preserve">means the rule is a</w:t>
      </w:r>
      <w:r>
        <w:t xml:space="preserve"> </w:t>
      </w:r>
      <w:r>
        <w:t xml:space="preserve">published requirement, restated for this audience.</w:t>
      </w:r>
      <w:r>
        <w:t xml:space="preserve"> </w:t>
      </w:r>
      <w:r>
        <w:rPr>
          <w:rStyle w:val="VerbatimChar"/>
        </w:rPr>
        <w:t xml:space="preserve">**[prompted by: &lt;code&gt;]**</w:t>
      </w:r>
      <w:r>
        <w:t xml:space="preserve"> </w:t>
      </w:r>
      <w:r>
        <w:t xml:space="preserve">means the source</w:t>
      </w:r>
      <w:r>
        <w:t xml:space="preserve"> </w:t>
      </w:r>
      <w:r>
        <w:t xml:space="preserve">raised the topic and the rule as written is ours, being stronger, narrower or different. The test</w:t>
      </w:r>
      <w:r>
        <w:t xml:space="preserve"> </w:t>
      </w:r>
      <w:r>
        <w:t xml:space="preserve">that decides between the last two:</w:t>
      </w:r>
      <w:r>
        <w:t xml:space="preserve"> </w:t>
      </w:r>
      <w:r>
        <w:rPr>
          <w:b/>
          <w:bCs/>
        </w:rPr>
        <w:t xml:space="preserve">if the source changed, would this rule change?</w:t>
      </w:r>
      <w:r>
        <w:t xml:space="preserve"> </w:t>
      </w:r>
      <w:r>
        <w:t xml:space="preserve">Yes is</w:t>
      </w:r>
      <w:r>
        <w:t xml:space="preserve"> </w:t>
      </w:r>
      <w:r>
        <w:t xml:space="preserve">derived, no is prompted-by, and no source at all is unmarked. A mark attaches to the rule -- the</w:t>
      </w:r>
      <w:r>
        <w:t xml:space="preserve"> </w:t>
      </w:r>
      <w:r>
        <w:t xml:space="preserve">bolded lead sentence, or the bullet -- never to the prose arguing for it, so the explanation, the</w:t>
      </w:r>
      <w:r>
        <w:t xml:space="preserve"> </w:t>
      </w:r>
      <w:r>
        <w:t xml:space="preserve">honest limit and the cost sitting inside a derived rule stay unmarked, because those are ours.</w:t>
      </w:r>
    </w:p>
    <w:bookmarkStart w:id="12" w:name="X5b2ad23c17e6a7879b324e7c1327c9b143e390c"/>
    <w:p>
      <w:pPr>
        <w:pStyle w:val="Heading3"/>
      </w:pPr>
      <w:r>
        <w:t xml:space="preserve">Full conformance is not on offer, so tailoring is not a compromise</w:t>
      </w:r>
    </w:p>
    <w:p>
      <w:pPr>
        <w:pStyle w:val="FirstParagraph"/>
      </w:pPr>
      <w:r>
        <w:rPr>
          <w:b/>
          <w:bCs/>
        </w:rPr>
        <w:t xml:space="preserve">The SSDF has no conformance criteria, no levels and no assessment procedure. Nothing issues a</w:t>
      </w:r>
      <w:r>
        <w:rPr>
          <w:b/>
          <w:bCs/>
        </w:rPr>
        <w:t xml:space="preserve"> </w:t>
      </w:r>
      <w:r>
        <w:rPr>
          <w:b/>
          <w:bCs/>
        </w:rPr>
        <w:t xml:space="preserve">pass.</w:t>
      </w:r>
      <w:r>
        <w:t xml:space="preserve"> </w:t>
      </w:r>
      <w:r>
        <w:t xml:space="preserve">So the familiar advice -- aim for a tailored, risk-based subset rather than one hundred</w:t>
      </w:r>
      <w:r>
        <w:t xml:space="preserve"> </w:t>
      </w:r>
      <w:r>
        <w:t xml:space="preserve">percent conformance -- understates the position. Full conformance is not a thing that exists to be</w:t>
      </w:r>
      <w:r>
        <w:t xml:space="preserve"> </w:t>
      </w:r>
      <w:r>
        <w:t xml:space="preserve">aimed at. The framework states outcomes a producer should achieve and leaves the how open, and its</w:t>
      </w:r>
      <w:r>
        <w:t xml:space="preserve"> </w:t>
      </w:r>
      <w:r>
        <w:t xml:space="preserve">implementation examples are illustrative rather than required.</w:t>
      </w:r>
    </w:p>
    <w:p>
      <w:pPr>
        <w:pStyle w:val="BodyText"/>
      </w:pPr>
      <w:r>
        <w:t xml:space="preserve">What that does</w:t>
      </w:r>
      <w:r>
        <w:t xml:space="preserve"> </w:t>
      </w:r>
      <w:r>
        <w:rPr>
          <w:b/>
          <w:bCs/>
        </w:rPr>
        <w:t xml:space="preserve">not</w:t>
      </w:r>
      <w:r>
        <w:t xml:space="preserve"> </w:t>
      </w:r>
      <w:r>
        <w:t xml:space="preserve">license is dropping a practice. Tailoring here happens at the implementation</w:t>
      </w:r>
      <w:r>
        <w:t xml:space="preserve"> </w:t>
      </w:r>
      <w:r>
        <w:t xml:space="preserve">layer -- which mechanism satisfies an outcome -- far more than at the practice layer. A practice</w:t>
      </w:r>
      <w:r>
        <w:t xml:space="preserve"> </w:t>
      </w:r>
      <w:r>
        <w:t xml:space="preserve">rarely stops applying because of a technology choice. A memory-safe language changes which</w:t>
      </w:r>
      <w:r>
        <w:t xml:space="preserve"> </w:t>
      </w:r>
      <w:r>
        <w:t xml:space="preserve">vulnerability classes you face, and therefore how you satisfy the code-analysis and testing</w:t>
      </w:r>
      <w:r>
        <w:t xml:space="preserve"> </w:t>
      </w:r>
      <w:r>
        <w:t xml:space="preserve">practices; it does not remove them. Treating a language feature as grounds to skip a practice is the</w:t>
      </w:r>
      <w:r>
        <w:t xml:space="preserve"> </w:t>
      </w:r>
      <w:r>
        <w:t xml:space="preserve">specific error this subsection exists to prevent.</w:t>
      </w:r>
    </w:p>
    <w:p>
      <w:pPr>
        <w:pStyle w:val="BodyText"/>
      </w:pPr>
      <w:r>
        <w:rPr>
          <w:b/>
          <w:bCs/>
        </w:rPr>
        <w:t xml:space="preserve">The artifact of tailoring is a written record of what you left out and why.</w:t>
      </w:r>
      <w:r>
        <w:t xml:space="preserve"> </w:t>
      </w:r>
      <w:r>
        <w:t xml:space="preserve">This document already</w:t>
      </w:r>
      <w:r>
        <w:t xml:space="preserve"> </w:t>
      </w:r>
      <w:r>
        <w:t xml:space="preserve">produces one: the</w:t>
      </w:r>
      <w:r>
        <w:t xml:space="preserve"> </w:t>
      </w:r>
      <w:r>
        <w:rPr>
          <w:rStyle w:val="VerbatimChar"/>
        </w:rPr>
        <w:t xml:space="preserve">NOT ADDRESSED</w:t>
      </w:r>
      <w:r>
        <w:t xml:space="preserve"> </w:t>
      </w:r>
      <w:r>
        <w:t xml:space="preserve">rows of the coverage table, each carrying a reason rather than an</w:t>
      </w:r>
      <w:r>
        <w:t xml:space="preserve"> </w:t>
      </w:r>
      <w:r>
        <w:t xml:space="preserve">apology. An exclusion nobody wrote down is indistinguishable later from an oversight, and the reason</w:t>
      </w:r>
      <w:r>
        <w:t xml:space="preserve"> </w:t>
      </w:r>
      <w:r>
        <w:t xml:space="preserve">is what a reader needs in order to disagree with you.</w:t>
      </w:r>
    </w:p>
    <w:bookmarkEnd w:id="12"/>
    <w:bookmarkStart w:id="13" w:name="X801905d3ca07527c679b1d09a0936ad61121075"/>
    <w:p>
      <w:pPr>
        <w:pStyle w:val="Heading3"/>
      </w:pPr>
      <w:r>
        <w:t xml:space="preserve">The one setting where such a claim is a legal instrument, and its expiry date</w:t>
      </w:r>
    </w:p>
    <w:p>
      <w:pPr>
        <w:pStyle w:val="FirstParagraph"/>
      </w:pPr>
      <w:r>
        <w:t xml:space="preserve">There used to be a clean answer to when conformance actually binds a producer: selling software to</w:t>
      </w:r>
      <w:r>
        <w:t xml:space="preserve"> </w:t>
      </w:r>
      <w:r>
        <w:t xml:space="preserve">the US federal government. Executive Order 14028 led to OMB Memoranda M-22-18 (2022) and M-23-16</w:t>
      </w:r>
      <w:r>
        <w:t xml:space="preserve"> </w:t>
      </w:r>
      <w:r>
        <w:t xml:space="preserve">(2023), which required agencies to obtain a secure-software-development self-attestation from</w:t>
      </w:r>
      <w:r>
        <w:t xml:space="preserve"> </w:t>
      </w:r>
      <w:r>
        <w:t xml:space="preserve">producers, on a common form published by CISA in March 2024.</w:t>
      </w:r>
    </w:p>
    <w:p>
      <w:pPr>
        <w:pStyle w:val="BodyText"/>
      </w:pPr>
      <w:r>
        <w:rPr>
          <w:b/>
          <w:bCs/>
        </w:rPr>
        <w:t xml:space="preserve">That government-wide requirement was rescinded on 2026-01-23 by OMB Memorandum M-26-05</w:t>
      </w:r>
      <w:r>
        <w:t xml:space="preserve">, which</w:t>
      </w:r>
      <w:r>
        <w:t xml:space="preserve"> </w:t>
      </w:r>
      <w:r>
        <w:t xml:space="preserve">states that M-22-18 and M-23-16 "are hereby rescinded". Agencies "may choose to use" the attestation</w:t>
      </w:r>
      <w:r>
        <w:t xml:space="preserve"> </w:t>
      </w:r>
      <w:r>
        <w:t xml:space="preserve">form; none is required to collect it. The SSDF survives in that memo as a resource agencies "can</w:t>
      </w:r>
      <w:r>
        <w:t xml:space="preserve"> </w:t>
      </w:r>
      <w:r>
        <w:t xml:space="preserve">reference", not as a mandate, and agencies must still maintain a complete software and hardware</w:t>
      </w:r>
      <w:r>
        <w:t xml:space="preserve"> </w:t>
      </w:r>
      <w:r>
        <w:t xml:space="preserve">inventory and set assurance requirements matching their own risk determinations.</w:t>
      </w:r>
    </w:p>
    <w:p>
      <w:pPr>
        <w:pStyle w:val="BodyText"/>
      </w:pPr>
      <w:r>
        <w:t xml:space="preserve">Two things follow, and they pull in opposite directions.</w:t>
      </w:r>
    </w:p>
    <w:p>
      <w:pPr>
        <w:pStyle w:val="Compact"/>
        <w:numPr>
          <w:ilvl w:val="0"/>
          <w:numId w:val="1002"/>
        </w:numPr>
      </w:pPr>
      <w:r>
        <w:rPr>
          <w:b/>
          <w:bCs/>
        </w:rPr>
        <w:t xml:space="preserve">Advice written before 2026 saying you must sign the common form to sell federally is now wrong</w:t>
      </w:r>
      <w:r>
        <w:t xml:space="preserve">,</w:t>
      </w:r>
      <w:r>
        <w:t xml:space="preserve"> </w:t>
      </w:r>
      <w:r>
        <w:t xml:space="preserve">and that advice is still widely in circulation.</w:t>
      </w:r>
    </w:p>
    <w:p>
      <w:pPr>
        <w:pStyle w:val="Compact"/>
        <w:numPr>
          <w:ilvl w:val="0"/>
          <w:numId w:val="1002"/>
        </w:numPr>
      </w:pPr>
      <w:r>
        <w:rPr>
          <w:b/>
          <w:bCs/>
        </w:rPr>
        <w:t xml:space="preserve">This is not a relaxation.</w:t>
      </w:r>
      <w:r>
        <w:t xml:space="preserve"> </w:t>
      </w:r>
      <w:r>
        <w:t xml:space="preserve">The memorandum moves the obligation onto each agency head and says</w:t>
      </w:r>
      <w:r>
        <w:t xml:space="preserve"> </w:t>
      </w:r>
      <w:r>
        <w:t xml:space="preserve">there is no one-size-fits-all method. An individual agency may still require an attestation by its</w:t>
      </w:r>
      <w:r>
        <w:t xml:space="preserve"> </w:t>
      </w:r>
      <w:r>
        <w:t xml:space="preserve">own policy or contract. Read as a loosening, it is being read backwards.</w:t>
      </w:r>
    </w:p>
    <w:p>
      <w:pPr>
        <w:pStyle w:val="FirstParagraph"/>
      </w:pPr>
      <w:r>
        <w:t xml:space="preserve">The stated reason is worth reading if you are deciding how much rigor to adopt. OMB wrote that the</w:t>
      </w:r>
      <w:r>
        <w:t xml:space="preserve"> </w:t>
      </w:r>
      <w:r>
        <w:t xml:space="preserve">prior approach "imposed unproven and burdensome software accounting processes that prioritized</w:t>
      </w:r>
      <w:r>
        <w:t xml:space="preserve"> </w:t>
      </w:r>
      <w:r>
        <w:t xml:space="preserve">compliance over genuine security investments" and "diverted agencies from developing tailored</w:t>
      </w:r>
      <w:r>
        <w:t xml:space="preserve"> </w:t>
      </w:r>
      <w:r>
        <w:t xml:space="preserve">assurance requirements". That is the argument of the subsection above, made by the party that had</w:t>
      </w:r>
      <w:r>
        <w:t xml:space="preserve"> </w:t>
      </w:r>
      <w:r>
        <w:t xml:space="preserve">imposed the mandate.</w:t>
      </w:r>
    </w:p>
    <w:p>
      <w:pPr>
        <w:pStyle w:val="BodyText"/>
      </w:pPr>
      <w:r>
        <w:rPr>
          <w:b/>
          <w:bCs/>
        </w:rPr>
        <w:t xml:space="preserve">What did not change is the exposure on any attestation you do sign.</w:t>
      </w:r>
      <w:r>
        <w:t xml:space="preserve"> </w:t>
      </w:r>
      <w:r>
        <w:t xml:space="preserve">A signed attestation is a</w:t>
      </w:r>
      <w:r>
        <w:t xml:space="preserve"> </w:t>
      </w:r>
      <w:r>
        <w:t xml:space="preserve">representation to a customer, and in the federal setting a false one carries civil fraud exposure</w:t>
      </w:r>
      <w:r>
        <w:t xml:space="preserve"> </w:t>
      </w:r>
      <w:r>
        <w:t xml:space="preserve">whether or not anyone required it. The rescission removed a requirement to make the statement. It did</w:t>
      </w:r>
      <w:r>
        <w:t xml:space="preserve"> </w:t>
      </w:r>
      <w:r>
        <w:t xml:space="preserve">nothing to the consequences of making a false one.</w:t>
      </w:r>
    </w:p>
    <w:p>
      <w:pPr>
        <w:pStyle w:val="BodyText"/>
      </w:pPr>
      <w:r>
        <w:rPr>
          <w:i/>
          <w:iCs/>
        </w:rPr>
        <w:t xml:space="preserve">Memorandum text read directly and verified 2026-08-06; see the sources table for how this status is</w:t>
      </w:r>
      <w:r>
        <w:rPr>
          <w:i/>
          <w:iCs/>
        </w:rPr>
        <w:t xml:space="preserve"> </w:t>
      </w:r>
      <w:r>
        <w:rPr>
          <w:i/>
          <w:iCs/>
        </w:rPr>
        <w:t xml:space="preserve">carried. A compliance fact without a date is a claim with a hidden expiry, and this one replaced a</w:t>
      </w:r>
      <w:r>
        <w:rPr>
          <w:i/>
          <w:iCs/>
        </w:rPr>
        <w:t xml:space="preserve"> </w:t>
      </w:r>
      <w:r>
        <w:rPr>
          <w:i/>
          <w:iCs/>
        </w:rPr>
        <w:t xml:space="preserve">four-year-old regime.</w:t>
      </w:r>
    </w:p>
    <w:bookmarkEnd w:id="13"/>
    <w:bookmarkEnd w:id="14"/>
    <w:bookmarkStart w:id="15" w:name="what-you-get"/>
    <w:p>
      <w:pPr>
        <w:pStyle w:val="Heading2"/>
      </w:pPr>
      <w:r>
        <w:t xml:space="preserve">What you get</w:t>
      </w:r>
    </w:p>
    <w:p>
      <w:pPr>
        <w:pStyle w:val="Compact"/>
        <w:numPr>
          <w:ilvl w:val="0"/>
          <w:numId w:val="1003"/>
        </w:numPr>
      </w:pPr>
      <w:r>
        <w:rPr>
          <w:b/>
          <w:bCs/>
        </w:rPr>
        <w:t xml:space="preserve">A written ownership split.</w:t>
      </w:r>
      <w:r>
        <w:t xml:space="preserve"> </w:t>
      </w:r>
      <w:r>
        <w:t xml:space="preserve">One table saying what the producing project owns and what the</w:t>
      </w:r>
      <w:r>
        <w:t xml:space="preserve"> </w:t>
      </w:r>
      <w:r>
        <w:t xml:space="preserve">operating organization owns, so a control cannot end up unowned because each side assumed the</w:t>
      </w:r>
      <w:r>
        <w:t xml:space="preserve"> </w:t>
      </w:r>
      <w:r>
        <w:t xml:space="preserve">other had it.</w:t>
      </w:r>
    </w:p>
    <w:p>
      <w:pPr>
        <w:pStyle w:val="Compact"/>
        <w:numPr>
          <w:ilvl w:val="0"/>
          <w:numId w:val="1003"/>
        </w:numPr>
      </w:pPr>
      <w:r>
        <w:rPr>
          <w:b/>
          <w:bCs/>
        </w:rPr>
        <w:t xml:space="preserve">Review with something to check against.</w:t>
      </w:r>
      <w:r>
        <w:t xml:space="preserve"> </w:t>
      </w:r>
      <w:r>
        <w:t xml:space="preserve">A per-boundary threat model turns "does this change</w:t>
      </w:r>
      <w:r>
        <w:t xml:space="preserve"> </w:t>
      </w:r>
      <w:r>
        <w:t xml:space="preserve">look secure" into "which boundary does this touch, and does its named mitigation still hold". A</w:t>
      </w:r>
      <w:r>
        <w:t xml:space="preserve"> </w:t>
      </w:r>
      <w:r>
        <w:t xml:space="preserve">missing control then shows up as a gap in an enumeration rather than as something nobody thought</w:t>
      </w:r>
      <w:r>
        <w:t xml:space="preserve"> </w:t>
      </w:r>
      <w:r>
        <w:t xml:space="preserve">of.</w:t>
      </w:r>
    </w:p>
    <w:p>
      <w:pPr>
        <w:pStyle w:val="Compact"/>
        <w:numPr>
          <w:ilvl w:val="0"/>
          <w:numId w:val="1003"/>
        </w:numPr>
      </w:pPr>
      <w:r>
        <w:rPr>
          <w:b/>
          <w:bCs/>
        </w:rPr>
        <w:t xml:space="preserve">A finite secure-coding list.</w:t>
      </w:r>
      <w:r>
        <w:t xml:space="preserve"> </w:t>
      </w:r>
      <w:r>
        <w:t xml:space="preserve">A reviewer, human or automated, gets a bounded set of questions</w:t>
      </w:r>
      <w:r>
        <w:t xml:space="preserve"> </w:t>
      </w:r>
      <w:r>
        <w:t xml:space="preserve">instead of an unanswerable one.</w:t>
      </w:r>
    </w:p>
    <w:p>
      <w:pPr>
        <w:pStyle w:val="Compact"/>
        <w:numPr>
          <w:ilvl w:val="0"/>
          <w:numId w:val="1003"/>
        </w:numPr>
      </w:pPr>
      <w:r>
        <w:rPr>
          <w:b/>
          <w:bCs/>
        </w:rPr>
        <w:t xml:space="preserve">An honest read of your own pipeline.</w:t>
      </w:r>
      <w:r>
        <w:t xml:space="preserve"> </w:t>
      </w:r>
      <w:r>
        <w:t xml:space="preserve">Two layers, weighted differently, with a plain statement</w:t>
      </w:r>
      <w:r>
        <w:t xml:space="preserve"> </w:t>
      </w:r>
      <w:r>
        <w:t xml:space="preserve">of what a green run has and has not established. Effort goes to the layer that is actually</w:t>
      </w:r>
      <w:r>
        <w:t xml:space="preserve"> </w:t>
      </w:r>
      <w:r>
        <w:t xml:space="preserve">missing rather than to a ninth scanner.</w:t>
      </w:r>
    </w:p>
    <w:p>
      <w:pPr>
        <w:pStyle w:val="Compact"/>
        <w:numPr>
          <w:ilvl w:val="0"/>
          <w:numId w:val="1003"/>
        </w:numPr>
      </w:pPr>
      <w:r>
        <w:rPr>
          <w:b/>
          <w:bCs/>
        </w:rPr>
        <w:t xml:space="preserve">A release gate that is a checklist, not a debate.</w:t>
      </w:r>
      <w:r>
        <w:t xml:space="preserve"> </w:t>
      </w:r>
      <w:r>
        <w:t xml:space="preserve">Defined pass and fail conditions, so the</w:t>
      </w:r>
      <w:r>
        <w:t xml:space="preserve"> </w:t>
      </w:r>
      <w:r>
        <w:t xml:space="preserve">conditions under which you shipped are recoverable afterwards.</w:t>
      </w:r>
    </w:p>
    <w:p>
      <w:pPr>
        <w:pStyle w:val="Compact"/>
        <w:numPr>
          <w:ilvl w:val="0"/>
          <w:numId w:val="1003"/>
        </w:numPr>
      </w:pPr>
      <w:r>
        <w:rPr>
          <w:b/>
          <w:bCs/>
        </w:rPr>
        <w:t xml:space="preserve">Artifacts an adopter can verify without trusting your description of your process</w:t>
      </w:r>
      <w:r>
        <w:t xml:space="preserve"> </w:t>
      </w:r>
      <w:r>
        <w:t xml:space="preserve">-- build</w:t>
      </w:r>
      <w:r>
        <w:t xml:space="preserve"> </w:t>
      </w:r>
      <w:r>
        <w:t xml:space="preserve">provenance, an attestation over the artifact digest, a component inventory, a published digest</w:t>
      </w:r>
      <w:r>
        <w:t xml:space="preserve"> </w:t>
      </w:r>
      <w:r>
        <w:t xml:space="preserve">manifest with the offline verification path documented.</w:t>
      </w:r>
    </w:p>
    <w:p>
      <w:pPr>
        <w:pStyle w:val="Compact"/>
        <w:numPr>
          <w:ilvl w:val="0"/>
          <w:numId w:val="1003"/>
        </w:numPr>
      </w:pPr>
      <w:r>
        <w:rPr>
          <w:b/>
          <w:bCs/>
        </w:rPr>
        <w:t xml:space="preserve">A posture you can publish when you cannot meet every requirement.</w:t>
      </w:r>
      <w:r>
        <w:t xml:space="preserve"> </w:t>
      </w:r>
      <w:r>
        <w:t xml:space="preserve">Dated deviations, named</w:t>
      </w:r>
      <w:r>
        <w:t xml:space="preserve"> </w:t>
      </w:r>
      <w:r>
        <w:t xml:space="preserve">compensating controls, and a trigger that ends each one -- instead of either overclaiming or</w:t>
      </w:r>
      <w:r>
        <w:t xml:space="preserve"> </w:t>
      </w:r>
      <w:r>
        <w:t xml:space="preserve">quietly having a gap.</w:t>
      </w:r>
    </w:p>
    <w:p>
      <w:pPr>
        <w:pStyle w:val="Compact"/>
        <w:numPr>
          <w:ilvl w:val="0"/>
          <w:numId w:val="1003"/>
        </w:numPr>
      </w:pPr>
      <w:r>
        <w:rPr>
          <w:b/>
          <w:bCs/>
        </w:rPr>
        <w:t xml:space="preserve">Wording that survives a reviewer.</w:t>
      </w:r>
      <w:r>
        <w:t xml:space="preserve"> </w:t>
      </w:r>
      <w:r>
        <w:t xml:space="preserve">Phrases you can use, phrases you cannot, and the reason, so</w:t>
      </w:r>
      <w:r>
        <w:t xml:space="preserve"> </w:t>
      </w:r>
      <w:r>
        <w:t xml:space="preserve">publishing a security page does not accidentally assert a certification that does not exist.</w:t>
      </w:r>
    </w:p>
    <w:bookmarkEnd w:id="15"/>
    <w:bookmarkStart w:id="17" w:name="what-this-costs-you"/>
    <w:p>
      <w:pPr>
        <w:pStyle w:val="Heading2"/>
      </w:pPr>
      <w:r>
        <w:t xml:space="preserve">What this costs you</w:t>
      </w:r>
    </w:p>
    <w:p>
      <w:pPr>
        <w:pStyle w:val="Compact"/>
        <w:numPr>
          <w:ilvl w:val="0"/>
          <w:numId w:val="1004"/>
        </w:numPr>
      </w:pPr>
      <w:r>
        <w:rPr>
          <w:b/>
          <w:bCs/>
        </w:rPr>
        <w:t xml:space="preserve">Calendar time in two places that resist automation.</w:t>
      </w:r>
      <w:r>
        <w:t xml:space="preserve"> </w:t>
      </w:r>
      <w:r>
        <w:t xml:space="preserve">Threat modeling happens before the build,</w:t>
      </w:r>
      <w:r>
        <w:t xml:space="preserve"> </w:t>
      </w:r>
      <w:r>
        <w:t xml:space="preserve">and vulnerability response has to be rehearsed end to end at least once. Neither can be discharged</w:t>
      </w:r>
      <w:r>
        <w:t xml:space="preserve"> </w:t>
      </w:r>
      <w:r>
        <w:t xml:space="preserve">by a passing check.</w:t>
      </w:r>
    </w:p>
    <w:p>
      <w:pPr>
        <w:pStyle w:val="Compact"/>
        <w:numPr>
          <w:ilvl w:val="0"/>
          <w:numId w:val="1004"/>
        </w:numPr>
      </w:pPr>
      <w:r>
        <w:rPr>
          <w:b/>
          <w:bCs/>
        </w:rPr>
        <w:t xml:space="preserve">Controls you do not own and must not claim.</w:t>
      </w:r>
      <w:r>
        <w:t xml:space="preserve"> </w:t>
      </w:r>
      <w:r>
        <w:t xml:space="preserve">The strongest tamper controls -- file-integrity</w:t>
      </w:r>
      <w:r>
        <w:t xml:space="preserve"> </w:t>
      </w:r>
      <w:r>
        <w:t xml:space="preserve">monitoring, immutable deployment, least-privilege file ownership, signed-artifact admission</w:t>
      </w:r>
      <w:r>
        <w:t xml:space="preserve"> </w:t>
      </w:r>
      <w:r>
        <w:t xml:space="preserve">control -- belong to whoever runs the software. You can document and recommend them. Claiming them</w:t>
      </w:r>
      <w:r>
        <w:t xml:space="preserve"> </w:t>
      </w:r>
      <w:r>
        <w:t xml:space="preserve">is a defect.</w:t>
      </w:r>
    </w:p>
    <w:p>
      <w:pPr>
        <w:pStyle w:val="Compact"/>
        <w:numPr>
          <w:ilvl w:val="0"/>
          <w:numId w:val="1004"/>
        </w:numPr>
      </w:pPr>
      <w:r>
        <w:rPr>
          <w:b/>
          <w:bCs/>
        </w:rPr>
        <w:t xml:space="preserve">A gap you cannot close by working harder.</w:t>
      </w:r>
      <w:r>
        <w:t xml:space="preserve"> </w:t>
      </w:r>
      <w:r>
        <w:t xml:space="preserve">Third-party source review and penetration testing are</w:t>
      </w:r>
      <w:r>
        <w:t xml:space="preserve"> </w:t>
      </w:r>
      <w:r>
        <w:t xml:space="preserve">the two controls an internally-run pipeline cannot substitute for. Developer-run dynamic testing is</w:t>
      </w:r>
      <w:r>
        <w:t xml:space="preserve"> </w:t>
      </w:r>
      <w:r>
        <w:t xml:space="preserve">not one of them -- section 2 carries the version that costs runner minutes, and section 15 records</w:t>
      </w:r>
      <w:r>
        <w:t xml:space="preserve"> </w:t>
      </w:r>
      <w:r>
        <w:t xml:space="preserve">why this list once said otherwise. In one project's planning, a single engagement at the highest</w:t>
      </w:r>
      <w:r>
        <w:t xml:space="preserve"> </w:t>
      </w:r>
      <w:r>
        <w:t xml:space="preserve">assurance tier was budgeted in the tens of thousands of currency units.</w:t>
      </w:r>
      <w:r>
        <w:t xml:space="preserve"> </w:t>
      </w:r>
      <w:r>
        <w:t xml:space="preserve">If you cannot fund it, the honest move is to say so and hold the gap under a signed acceptance --</w:t>
      </w:r>
      <w:r>
        <w:t xml:space="preserve"> </w:t>
      </w:r>
      <w:r>
        <w:t xml:space="preserve">not to let a self-assessment read as verification.</w:t>
      </w:r>
    </w:p>
    <w:p>
      <w:pPr>
        <w:pStyle w:val="Compact"/>
        <w:numPr>
          <w:ilvl w:val="0"/>
          <w:numId w:val="1004"/>
        </w:numPr>
      </w:pPr>
      <w:r>
        <w:rPr>
          <w:b/>
          <w:bCs/>
        </w:rPr>
        <w:t xml:space="preserve">No code ships with this.</w:t>
      </w:r>
      <w:r>
        <w:t xml:space="preserve"> </w:t>
      </w:r>
      <w:r>
        <w:t xml:space="preserve">No workflow, no scanner configuration, no template. The mechanics</w:t>
      </w:r>
      <w:r>
        <w:t xml:space="preserve"> </w:t>
      </w:r>
      <w:r>
        <w:t xml:space="preserve">below are described so you can build them where you already run checks.</w:t>
      </w:r>
    </w:p>
    <w:bookmarkStart w:id="16" w:name="where-this-does-not-apply"/>
    <w:p>
      <w:pPr>
        <w:pStyle w:val="Heading3"/>
      </w:pPr>
      <w:r>
        <w:t xml:space="preserve">Where this does not apply</w:t>
      </w:r>
    </w:p>
    <w:p>
      <w:pPr>
        <w:pStyle w:val="Compact"/>
        <w:numPr>
          <w:ilvl w:val="0"/>
          <w:numId w:val="1005"/>
        </w:numPr>
      </w:pPr>
      <w:r>
        <w:rPr>
          <w:b/>
          <w:bCs/>
        </w:rPr>
        <w:t xml:space="preserve">Throwaway work.</w:t>
      </w:r>
      <w:r>
        <w:t xml:space="preserve"> </w:t>
      </w:r>
      <w:r>
        <w:t xml:space="preserve">A spike nobody installs does not need a threat model or a release gate.</w:t>
      </w:r>
      <w:r>
        <w:t xml:space="preserve"> </w:t>
      </w:r>
      <w:r>
        <w:t xml:space="preserve">Applying the whole of this to code with no consumer is how a process gets abandoned wholesale.</w:t>
      </w:r>
    </w:p>
    <w:p>
      <w:pPr>
        <w:pStyle w:val="Compact"/>
        <w:numPr>
          <w:ilvl w:val="0"/>
          <w:numId w:val="1005"/>
        </w:numPr>
      </w:pPr>
      <w:r>
        <w:rPr>
          <w:b/>
          <w:bCs/>
        </w:rPr>
        <w:t xml:space="preserve">Anything you are not the producer of.</w:t>
      </w:r>
      <w:r>
        <w:t xml:space="preserve"> </w:t>
      </w:r>
      <w:r>
        <w:t xml:space="preserve">If you operate software rather than publish it, most of</w:t>
      </w:r>
      <w:r>
        <w:t xml:space="preserve"> </w:t>
      </w:r>
      <w:r>
        <w:t xml:space="preserve">the build and release sections are somebody else's obligation and the hardening sections are</w:t>
      </w:r>
      <w:r>
        <w:t xml:space="preserve"> </w:t>
      </w:r>
      <w:r>
        <w:t xml:space="preserve">yours.</w:t>
      </w:r>
    </w:p>
    <w:p>
      <w:pPr>
        <w:pStyle w:val="Compact"/>
        <w:numPr>
          <w:ilvl w:val="0"/>
          <w:numId w:val="1005"/>
        </w:numPr>
      </w:pPr>
      <w:r>
        <w:rPr>
          <w:b/>
          <w:bCs/>
        </w:rPr>
        <w:t xml:space="preserve">As a compliance position.</w:t>
      </w:r>
      <w:r>
        <w:t xml:space="preserve"> </w:t>
      </w:r>
      <w:r>
        <w:t xml:space="preserve">Building to this confers nothing on the product, on you, or on an</w:t>
      </w:r>
      <w:r>
        <w:t xml:space="preserve"> </w:t>
      </w:r>
      <w:r>
        <w:t xml:space="preserve">adopter, and it does not substitute for an adopting organization's own assessment.</w:t>
      </w:r>
    </w:p>
    <w:bookmarkEnd w:id="16"/>
    <w:bookmarkEnd w:id="17"/>
    <w:bookmarkStart w:id="18" w:name="how-to-adopt-this"/>
    <w:p>
      <w:pPr>
        <w:pStyle w:val="Heading2"/>
      </w:pPr>
      <w:r>
        <w:t xml:space="preserve">How to adopt this</w:t>
      </w:r>
    </w:p>
    <w:p>
      <w:pPr>
        <w:pStyle w:val="FirstParagraph"/>
      </w:pPr>
      <w:r>
        <w:t xml:space="preserve">Start with the ownership split (section 1). One table, one sitting. It is the artifact that makes</w:t>
      </w:r>
      <w:r>
        <w:t xml:space="preserve"> </w:t>
      </w:r>
      <w:r>
        <w:t xml:space="preserve">every later claim scopeable, and most of the arguments it prevents are arguments about who was</w:t>
      </w:r>
      <w:r>
        <w:t xml:space="preserve"> </w:t>
      </w:r>
      <w:r>
        <w:t xml:space="preserve">supposed to do something.</w:t>
      </w:r>
    </w:p>
    <w:p>
      <w:pPr>
        <w:pStyle w:val="BodyText"/>
      </w:pPr>
      <w:r>
        <w:t xml:space="preserve">Then work in this order:</w:t>
      </w:r>
    </w:p>
    <w:p>
      <w:pPr>
        <w:pStyle w:val="Compact"/>
        <w:numPr>
          <w:ilvl w:val="0"/>
          <w:numId w:val="1006"/>
        </w:numPr>
      </w:pPr>
      <w:r>
        <w:rPr>
          <w:b/>
          <w:bCs/>
        </w:rPr>
        <w:t xml:space="preserve">Ownership split, then the data-class table.</w:t>
      </w:r>
      <w:r>
        <w:t xml:space="preserve"> </w:t>
      </w:r>
      <w:r>
        <w:t xml:space="preserve">Section 1. The second is another table and another</w:t>
      </w:r>
      <w:r>
        <w:t xml:space="preserve"> </w:t>
      </w:r>
      <w:r>
        <w:t xml:space="preserve">sitting, and it is what makes every later rule that says "restricted data" mean something specific.</w:t>
      </w:r>
    </w:p>
    <w:p>
      <w:pPr>
        <w:pStyle w:val="Compact"/>
        <w:numPr>
          <w:ilvl w:val="0"/>
          <w:numId w:val="1006"/>
        </w:numPr>
      </w:pPr>
      <w:r>
        <w:rPr>
          <w:b/>
          <w:bCs/>
        </w:rPr>
        <w:t xml:space="preserve">Threat model one trust boundary</w:t>
      </w:r>
      <w:r>
        <w:t xml:space="preserve"> </w:t>
      </w:r>
      <w:r>
        <w:t xml:space="preserve">-- the riskiest, not all of them. Section 2. A single worked</w:t>
      </w:r>
      <w:r>
        <w:t xml:space="preserve"> </w:t>
      </w:r>
      <w:r>
        <w:t xml:space="preserve">boundary teaches the format better than a sweep does.</w:t>
      </w:r>
    </w:p>
    <w:p>
      <w:pPr>
        <w:pStyle w:val="Compact"/>
        <w:numPr>
          <w:ilvl w:val="0"/>
          <w:numId w:val="1006"/>
        </w:numPr>
      </w:pPr>
      <w:r>
        <w:rPr>
          <w:b/>
          <w:bCs/>
        </w:rPr>
        <w:t xml:space="preserve">Make the scanner posture honest.</w:t>
      </w:r>
      <w:r>
        <w:t xml:space="preserve"> </w:t>
      </w:r>
      <w:r>
        <w:t xml:space="preserve">Section 5. Classify every nominally-security job as blocking</w:t>
      </w:r>
      <w:r>
        <w:t xml:space="preserve"> </w:t>
      </w:r>
      <w:r>
        <w:t xml:space="preserve">or advisory before adding any new one. This usually reveals that coverage is narrower than the</w:t>
      </w:r>
      <w:r>
        <w:t xml:space="preserve"> </w:t>
      </w:r>
      <w:r>
        <w:t xml:space="preserve">tool list suggested, at zero engineering cost.</w:t>
      </w:r>
    </w:p>
    <w:p>
      <w:pPr>
        <w:pStyle w:val="Compact"/>
        <w:numPr>
          <w:ilvl w:val="0"/>
          <w:numId w:val="1006"/>
        </w:numPr>
      </w:pPr>
      <w:r>
        <w:rPr>
          <w:b/>
          <w:bCs/>
        </w:rPr>
        <w:t xml:space="preserve">Write the deviations register.</w:t>
      </w:r>
      <w:r>
        <w:t xml:space="preserve"> </w:t>
      </w:r>
      <w:r>
        <w:t xml:space="preserve">Section 13. Start with what you cannot do today. A register</w:t>
      </w:r>
      <w:r>
        <w:t xml:space="preserve"> </w:t>
      </w:r>
      <w:r>
        <w:t xml:space="preserve">written while you are still honest about the gaps is worth more than one written at review time.</w:t>
      </w:r>
    </w:p>
    <w:p>
      <w:pPr>
        <w:pStyle w:val="Compact"/>
        <w:numPr>
          <w:ilvl w:val="0"/>
          <w:numId w:val="1006"/>
        </w:numPr>
      </w:pPr>
      <w:r>
        <w:rPr>
          <w:b/>
          <w:bCs/>
        </w:rPr>
        <w:t xml:space="preserve">Build and release integrity.</w:t>
      </w:r>
      <w:r>
        <w:t xml:space="preserve"> </w:t>
      </w:r>
      <w:r>
        <w:t xml:space="preserve">Section 10. Short-lived publishing credentials, an attestation</w:t>
      </w:r>
      <w:r>
        <w:t xml:space="preserve"> </w:t>
      </w:r>
      <w:r>
        <w:t xml:space="preserve">over the artifact digest, and a published digest manifest cover most of what an adopter needs.</w:t>
      </w:r>
    </w:p>
    <w:p>
      <w:pPr>
        <w:pStyle w:val="Compact"/>
        <w:numPr>
          <w:ilvl w:val="0"/>
          <w:numId w:val="1006"/>
        </w:numPr>
      </w:pPr>
      <w:r>
        <w:rPr>
          <w:b/>
          <w:bCs/>
        </w:rPr>
        <w:t xml:space="preserve">The release gate.</w:t>
      </w:r>
      <w:r>
        <w:t xml:space="preserve"> </w:t>
      </w:r>
      <w:r>
        <w:t xml:space="preserve">Section 16. Now that you know which checks block, the gate can be written as</w:t>
      </w:r>
      <w:r>
        <w:t xml:space="preserve"> </w:t>
      </w:r>
      <w:r>
        <w:t xml:space="preserve">a list rather than a judgment.</w:t>
      </w:r>
    </w:p>
    <w:p>
      <w:pPr>
        <w:pStyle w:val="Compact"/>
        <w:numPr>
          <w:ilvl w:val="0"/>
          <w:numId w:val="1006"/>
        </w:numPr>
      </w:pPr>
      <w:r>
        <w:rPr>
          <w:b/>
          <w:bCs/>
        </w:rPr>
        <w:t xml:space="preserve">Rehearse vulnerability response.</w:t>
      </w:r>
      <w:r>
        <w:t xml:space="preserve"> </w:t>
      </w:r>
      <w:r>
        <w:t xml:space="preserve">Section 12. A dry run finds the broken intake channel before</w:t>
      </w:r>
      <w:r>
        <w:t xml:space="preserve"> </w:t>
      </w:r>
      <w:r>
        <w:t xml:space="preserve">a real reporter does.</w:t>
      </w:r>
    </w:p>
    <w:p>
      <w:pPr>
        <w:pStyle w:val="Compact"/>
        <w:numPr>
          <w:ilvl w:val="0"/>
          <w:numId w:val="1006"/>
        </w:numPr>
      </w:pPr>
      <w:r>
        <w:rPr>
          <w:b/>
          <w:bCs/>
        </w:rPr>
        <w:t xml:space="preserve">Set the re-evaluation cadence.</w:t>
      </w:r>
      <w:r>
        <w:t xml:space="preserve"> </w:t>
      </w:r>
      <w:r>
        <w:t xml:space="preserve">Section 14. Four items, a stated cadence, a dated entry per</w:t>
      </w:r>
      <w:r>
        <w:t xml:space="preserve"> </w:t>
      </w:r>
      <w:r>
        <w:t xml:space="preserve">pass, and the event trigger that sends you back to step 1's table. It is what catches a control</w:t>
      </w:r>
      <w:r>
        <w:t xml:space="preserve"> </w:t>
      </w:r>
      <w:r>
        <w:t xml:space="preserve">that degraded during a stretch where nothing shipped, and its event trigger is the row section</w:t>
      </w:r>
      <w:r>
        <w:t xml:space="preserve"> </w:t>
      </w:r>
      <w:r>
        <w:t xml:space="preserve">16's gate carries for the data-class table.</w:t>
      </w:r>
    </w:p>
    <w:p>
      <w:pPr>
        <w:pStyle w:val="Compact"/>
        <w:numPr>
          <w:ilvl w:val="0"/>
          <w:numId w:val="1006"/>
        </w:numPr>
      </w:pPr>
      <w:r>
        <w:rPr>
          <w:b/>
          <w:bCs/>
        </w:rPr>
        <w:t xml:space="preserve">The remaining sections</w:t>
      </w:r>
      <w:r>
        <w:t xml:space="preserve"> </w:t>
      </w:r>
      <w:r>
        <w:t xml:space="preserve">as they become relevant to what you build.</w:t>
      </w:r>
    </w:p>
    <w:p>
      <w:r>
        <w:pict>
          <v:rect style="width:0;height:1.5pt" o:hralign="center" o:hrstd="t" o:hr="t"/>
        </w:pict>
      </w:r>
    </w:p>
    <w:bookmarkEnd w:id="18"/>
    <w:bookmarkStart w:id="19" w:name="X72e8a7b0eb017be1b6be4ce9a7aa4c29f34647f"/>
    <w:p>
      <w:pPr>
        <w:pStyle w:val="Heading2"/>
      </w:pPr>
      <w:r>
        <w:t xml:space="preserve">The shape: two layers, and the second is where the defects are</w:t>
      </w:r>
    </w:p>
    <w:p>
      <w:pPr>
        <w:pStyle w:val="FirstParagraph"/>
      </w:pPr>
      <w:r>
        <w:t xml:space="preserve">Judge a build's security as a composite of two layers. Never on one row of either.</w:t>
      </w:r>
    </w:p>
    <w:p>
      <w:pPr>
        <w:pStyle w:val="BodyText"/>
      </w:pPr>
      <w:r>
        <w:rPr>
          <w:b/>
          <w:bCs/>
        </w:rPr>
        <w:t xml:space="preserve">The machine-enforced layer</w:t>
      </w:r>
      <w:r>
        <w:t xml:space="preserve"> </w:t>
      </w:r>
      <w:r>
        <w:t xml:space="preserve">is blocking analysis and secret-scan gates, secure coding practice,</w:t>
      </w:r>
      <w:r>
        <w:t xml:space="preserve"> </w:t>
      </w:r>
      <w:r>
        <w:t xml:space="preserve">dependency and supply-chain integrity, secrets hygiene, secure-by-default configuration,</w:t>
      </w:r>
      <w:r>
        <w:t xml:space="preserve"> </w:t>
      </w:r>
      <w:r>
        <w:t xml:space="preserve">machine-to-machine authentication, and tamper-evident audit logging. It is hard to fake, because its evidence is a red</w:t>
      </w:r>
      <w:r>
        <w:t xml:space="preserve"> </w:t>
      </w:r>
      <w:r>
        <w:t xml:space="preserve">or green pipeline leg rather than a claim.</w:t>
      </w:r>
    </w:p>
    <w:p>
      <w:pPr>
        <w:pStyle w:val="BodyText"/>
      </w:pPr>
      <w:r>
        <w:rPr>
          <w:b/>
          <w:bCs/>
        </w:rPr>
        <w:t xml:space="preserve">The process layer</w:t>
      </w:r>
      <w:r>
        <w:t xml:space="preserve"> </w:t>
      </w:r>
      <w:r>
        <w:t xml:space="preserve">is an exercised vulnerability-response program, an independent external</w:t>
      </w:r>
      <w:r>
        <w:t xml:space="preserve"> </w:t>
      </w:r>
      <w:r>
        <w:t xml:space="preserve">challenge, a single honest verdict-of-record, and a release gate. None of it can be discharged by a</w:t>
      </w:r>
      <w:r>
        <w:t xml:space="preserve"> </w:t>
      </w:r>
      <w:r>
        <w:t xml:space="preserve">passing scanner. It needs a rehearsal, a signature, or an outside party.</w:t>
      </w:r>
    </w:p>
    <w:p>
      <w:pPr>
        <w:pStyle w:val="BodyText"/>
      </w:pPr>
      <w:r>
        <w:rPr>
          <w:b/>
          <w:bCs/>
        </w:rPr>
        <w:t xml:space="preserve">A green pipeline from a gate you ran on yourself does not substitute for an adversary who did</w:t>
      </w:r>
      <w:r>
        <w:rPr>
          <w:b/>
          <w:bCs/>
        </w:rPr>
        <w:t xml:space="preserve"> </w:t>
      </w:r>
      <w:r>
        <w:rPr>
          <w:b/>
          <w:bCs/>
        </w:rPr>
        <w:t xml:space="preserve">not.</w:t>
      </w:r>
      <w:r>
        <w:t xml:space="preserve"> </w:t>
      </w:r>
      <w:r>
        <w:t xml:space="preserve">Defects concentrate in the second layer, and a perfect first layer does not compensate for an</w:t>
      </w:r>
      <w:r>
        <w:t xml:space="preserve"> </w:t>
      </w:r>
      <w:r>
        <w:t xml:space="preserve">empty second one. Say that in the same breath as any claim about your automated coverage.</w:t>
      </w:r>
    </w:p>
    <w:p>
      <w:r>
        <w:pict>
          <v:rect style="width:0;height:1.5pt" o:hralign="center" o:hrstd="t" o:hr="t"/>
        </w:pict>
      </w:r>
    </w:p>
    <w:bookmarkEnd w:id="19"/>
    <w:bookmarkStart w:id="22" w:name="Xf8794b0126bc78285fb10778097a0695650e57d"/>
    <w:p>
      <w:pPr>
        <w:pStyle w:val="Heading2"/>
      </w:pPr>
      <w:r>
        <w:t xml:space="preserve">1. Shared responsibility: write the split down first</w:t>
      </w:r>
    </w:p>
    <w:p>
      <w:pPr>
        <w:pStyle w:val="FirstParagraph"/>
      </w:pPr>
      <w:r>
        <w:t xml:space="preserve">Software built by one party and run by another has a boundary. The failure mode is not that somebody</w:t>
      </w:r>
      <w:r>
        <w:t xml:space="preserve"> </w:t>
      </w:r>
      <w:r>
        <w:t xml:space="preserve">does the wrong thing -- it is that both sides assume the other has it covered. Publish the split as</w:t>
      </w:r>
      <w:r>
        <w:t xml:space="preserve"> </w:t>
      </w:r>
      <w:r>
        <w:t xml:space="preserve">a table so that assumption cannot survive.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The producing project owns</w:t>
            </w:r>
          </w:p>
        </w:tc>
        <w:tc>
          <w:tcPr/>
          <w:p>
            <w:pPr>
              <w:pStyle w:val="Compact"/>
            </w:pPr>
            <w:r>
              <w:t xml:space="preserve">The operating organization owns</w:t>
            </w:r>
          </w:p>
        </w:tc>
      </w:tr>
      <w:tr>
        <w:tc>
          <w:tcPr/>
          <w:p>
            <w:pPr>
              <w:pStyle w:val="Compact"/>
            </w:pPr>
            <w:r>
              <w:t xml:space="preserve">Secure development practice</w:t>
            </w:r>
          </w:p>
        </w:tc>
        <w:tc>
          <w:tcPr/>
          <w:p>
            <w:pPr>
              <w:pStyle w:val="Compact"/>
            </w:pPr>
            <w:r>
              <w:t xml:space="preserve">Its own host, network and platform security</w:t>
            </w:r>
          </w:p>
        </w:tc>
      </w:tr>
      <w:tr>
        <w:tc>
          <w:tcPr/>
          <w:p>
            <w:pPr>
              <w:pStyle w:val="Compact"/>
            </w:pPr>
            <w:r>
              <w:t xml:space="preserve">Secure-by-default configuration</w:t>
            </w:r>
          </w:p>
        </w:tc>
        <w:tc>
          <w:tcPr/>
          <w:p>
            <w:pPr>
              <w:pStyle w:val="Compact"/>
            </w:pPr>
            <w:r>
              <w:t xml:space="preserve">Identity, credential and key management in its environment</w:t>
            </w:r>
          </w:p>
        </w:tc>
      </w:tr>
      <w:tr>
        <w:tc>
          <w:tcPr/>
          <w:p>
            <w:pPr>
              <w:pStyle w:val="Compact"/>
            </w:pPr>
            <w:r>
              <w:t xml:space="preserve">Testing and attestation of the software</w:t>
            </w:r>
          </w:p>
        </w:tc>
        <w:tc>
          <w:tcPr/>
          <w:p>
            <w:pPr>
              <w:pStyle w:val="Compact"/>
            </w:pPr>
            <w:r>
              <w:t xml:space="preserve">Backups, disaster recovery, availability</w:t>
            </w:r>
          </w:p>
        </w:tc>
      </w:tr>
      <w:tr>
        <w:tc>
          <w:tcPr/>
          <w:p>
            <w:pPr>
              <w:pStyle w:val="Compact"/>
            </w:pPr>
            <w:r>
              <w:t xml:space="preserve">Vulnerability response and disclosure</w:t>
            </w:r>
          </w:p>
        </w:tc>
        <w:tc>
          <w:tcPr/>
          <w:p>
            <w:pPr>
              <w:pStyle w:val="Compact"/>
            </w:pPr>
            <w:r>
              <w:t xml:space="preserve">Its own compliance program and risk assessment</w:t>
            </w:r>
          </w:p>
        </w:tc>
      </w:tr>
      <w:tr>
        <w:tc>
          <w:tcPr/>
          <w:p>
            <w:pPr>
              <w:pStyle w:val="Compact"/>
            </w:pPr>
            <w:r>
              <w:t xml:space="preserve">Documentation and evidence</w:t>
            </w:r>
          </w:p>
        </w:tc>
        <w:tc>
          <w:tcPr/>
          <w:p>
            <w:pPr>
              <w:pStyle w:val="Compact"/>
            </w:pPr>
            <w:r>
              <w:t xml:space="preserve">Monitoring, patching, incident response</w:t>
            </w:r>
          </w:p>
        </w:tc>
      </w:tr>
      <w:tr>
        <w:tc>
          <w:tcPr/>
          <w:p>
            <w:pPr>
              <w:pStyle w:val="Compact"/>
            </w:pPr>
            <w:r>
              <w:t xml:space="preserve">The audit log's review affordance and a labelled retention default</w:t>
            </w:r>
          </w:p>
        </w:tc>
        <w:tc>
          <w:tcPr/>
          <w:p>
            <w:pPr>
              <w:pStyle w:val="Compact"/>
            </w:pPr>
            <w:r>
              <w:t xml:space="preserve">Reviewing the audit log on a defined cadence, and what counts as unusual activity there</w:t>
            </w:r>
          </w:p>
        </w:tc>
      </w:tr>
    </w:tbl>
    <w:p>
      <w:pPr>
        <w:pStyle w:val="BodyText"/>
      </w:pPr>
      <w:r>
        <w:rPr>
          <w:b/>
          <w:bCs/>
        </w:rPr>
        <w:t xml:space="preserve">Shipping the software confers nothing on the operator.</w:t>
      </w:r>
      <w:r>
        <w:t xml:space="preserve"> </w:t>
      </w:r>
      <w:r>
        <w:t xml:space="preserve">An attestation that the software was</w:t>
      </w:r>
      <w:r>
        <w:t xml:space="preserve"> </w:t>
      </w:r>
      <w:r>
        <w:t xml:space="preserve">built securely is an input to their assessment, never a substitute for it. State that where an</w:t>
      </w:r>
      <w:r>
        <w:t xml:space="preserve"> </w:t>
      </w:r>
      <w:r>
        <w:t xml:space="preserve">adopter will read it, not in a footnote.</w:t>
      </w:r>
    </w:p>
    <w:p>
      <w:pPr>
        <w:pStyle w:val="BodyText"/>
      </w:pPr>
      <w:r>
        <w:t xml:space="preserve">The split also constrains what you may write elsewhere in this document. Anything in the right-hand</w:t>
      </w:r>
      <w:r>
        <w:t xml:space="preserve"> </w:t>
      </w:r>
      <w:r>
        <w:t xml:space="preserve">column is something you</w:t>
      </w:r>
      <w:r>
        <w:t xml:space="preserve"> </w:t>
      </w:r>
      <w:r>
        <w:rPr>
          <w:b/>
          <w:bCs/>
        </w:rPr>
        <w:t xml:space="preserve">document and recommend</w:t>
      </w:r>
      <w:r>
        <w:t xml:space="preserve">. It never appears in a list of controls you</w:t>
      </w:r>
      <w:r>
        <w:t xml:space="preserve"> </w:t>
      </w:r>
      <w:r>
        <w:t xml:space="preserve">provide.</w:t>
      </w:r>
    </w:p>
    <w:bookmarkStart w:id="20" w:name="X4ca1e2b74cbf9e5a534c776f2934c8292145685"/>
    <w:p>
      <w:pPr>
        <w:pStyle w:val="Heading3"/>
      </w:pPr>
      <w:r>
        <w:t xml:space="preserve">The third participant: services neither column owns</w:t>
      </w:r>
    </w:p>
    <w:p>
      <w:pPr>
        <w:pStyle w:val="FirstParagraph"/>
      </w:pPr>
      <w:r>
        <w:rPr>
          <w:b/>
          <w:bCs/>
        </w:rPr>
        <w:t xml:space="preserve">List the services the build depends on, what each is trusted to do, and what fails if it is</w:t>
      </w:r>
      <w:r>
        <w:rPr>
          <w:b/>
          <w:bCs/>
        </w:rPr>
        <w:t xml:space="preserve"> </w:t>
      </w:r>
      <w:r>
        <w:rPr>
          <w:b/>
          <w:bCs/>
        </w:rPr>
        <w:t xml:space="preserve">compromised or simply goes away.</w:t>
      </w:r>
      <w:r>
        <w:t xml:space="preserve"> </w:t>
      </w:r>
      <w:r>
        <w:rPr>
          <w:b/>
          <w:bCs/>
        </w:rPr>
        <w:t xml:space="preserve">[prompted by: 800-53 SA-9]</w:t>
      </w:r>
      <w:r>
        <w:t xml:space="preserve"> </w:t>
      </w:r>
      <w:r>
        <w:t xml:space="preserve">The two columns above have no room</w:t>
      </w:r>
      <w:r>
        <w:t xml:space="preserve"> </w:t>
      </w:r>
      <w:r>
        <w:t xml:space="preserve">for the CI provider, the source host, the package registry, the transparency log or the artifact</w:t>
      </w:r>
      <w:r>
        <w:t xml:space="preserve"> </w:t>
      </w:r>
      <w:r>
        <w:t xml:space="preserve">store, so every control those hold gets filed under a column where it does not fit. Give them a table</w:t>
      </w:r>
      <w:r>
        <w:t xml:space="preserve"> </w:t>
      </w:r>
      <w:r>
        <w:t xml:space="preserve">of their own. Five to eight rows is the whole of 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Service</w:t>
            </w:r>
          </w:p>
        </w:tc>
        <w:tc>
          <w:tcPr/>
          <w:p>
            <w:pPr>
              <w:pStyle w:val="Compact"/>
            </w:pPr>
            <w:r>
              <w:t xml:space="preserve">Trusted to</w:t>
            </w:r>
          </w:p>
        </w:tc>
        <w:tc>
          <w:tcPr/>
          <w:p>
            <w:pPr>
              <w:pStyle w:val="Compact"/>
            </w:pPr>
            <w:r>
              <w:t xml:space="preserve">What fails if it is compromised, or goes away</w:t>
            </w:r>
          </w:p>
        </w:tc>
      </w:tr>
      <w:tr>
        <w:tc>
          <w:tcPr/>
          <w:p>
            <w:pPr>
              <w:pStyle w:val="Compact"/>
            </w:pPr>
            <w:r>
              <w:t xml:space="preserve">Source host</w:t>
            </w:r>
          </w:p>
        </w:tc>
        <w:tc>
          <w:tcPr/>
          <w:p>
            <w:pPr>
              <w:pStyle w:val="Compact"/>
            </w:pPr>
            <w:r>
              <w:t xml:space="preserve">Hold the trunk, enforce branch protection, keep the history</w:t>
            </w:r>
          </w:p>
        </w:tc>
        <w:tc>
          <w:tcPr/>
          <w:p>
            <w:pPr>
              <w:pStyle w:val="Compact"/>
            </w:pPr>
            <w:r>
              <w:t xml:space="preserve">Every protected-path rule, and the provenance chain back to a commit</w:t>
            </w:r>
          </w:p>
        </w:tc>
      </w:tr>
      <w:tr>
        <w:tc>
          <w:tcPr/>
          <w:p>
            <w:pPr>
              <w:pStyle w:val="Compact"/>
            </w:pPr>
            <w:r>
              <w:t xml:space="preserve">Build service</w:t>
            </w:r>
          </w:p>
        </w:tc>
        <w:tc>
          <w:tcPr/>
          <w:p>
            <w:pPr>
              <w:pStyle w:val="Compact"/>
            </w:pPr>
            <w:r>
              <w:t xml:space="preserve">Execute the pipeline on a runner you do not administer</w:t>
            </w:r>
          </w:p>
        </w:tc>
        <w:tc>
          <w:tcPr/>
          <w:p>
            <w:pPr>
              <w:pStyle w:val="Compact"/>
            </w:pPr>
            <w:r>
              <w:t xml:space="preserve">The claim that the artifact traces to a repository rather than to a machine</w:t>
            </w:r>
          </w:p>
        </w:tc>
      </w:tr>
      <w:tr>
        <w:tc>
          <w:tcPr/>
          <w:p>
            <w:pPr>
              <w:pStyle w:val="Compact"/>
            </w:pPr>
            <w:r>
              <w:t xml:space="preserve">Package registry</w:t>
            </w:r>
          </w:p>
        </w:tc>
        <w:tc>
          <w:tcPr/>
          <w:p>
            <w:pPr>
              <w:pStyle w:val="Compact"/>
            </w:pPr>
            <w:r>
              <w:t xml:space="preserve">Serve the artifact under the name consumers resolve</w:t>
            </w:r>
          </w:p>
        </w:tc>
        <w:tc>
          <w:tcPr/>
          <w:p>
            <w:pPr>
              <w:pStyle w:val="Compact"/>
            </w:pPr>
            <w:r>
              <w:t xml:space="preserve">Distribution, and the account that publishes under that name</w:t>
            </w:r>
          </w:p>
        </w:tc>
      </w:tr>
      <w:tr>
        <w:tc>
          <w:tcPr/>
          <w:p>
            <w:pPr>
              <w:pStyle w:val="Compact"/>
            </w:pPr>
            <w:r>
              <w:t xml:space="preserve">Transparency log</w:t>
            </w:r>
          </w:p>
        </w:tc>
        <w:tc>
          <w:tcPr/>
          <w:p>
            <w:pPr>
              <w:pStyle w:val="Compact"/>
            </w:pPr>
            <w:r>
              <w:t xml:space="preserve">Hold the inclusion proof a consumer checks</w:t>
            </w:r>
          </w:p>
        </w:tc>
        <w:tc>
          <w:tcPr/>
          <w:p>
            <w:pPr>
              <w:pStyle w:val="Compact"/>
            </w:pPr>
            <w:r>
              <w:t xml:space="preserve">Verification for anyone who cannot reach it, unless the proof was bundled</w:t>
            </w:r>
          </w:p>
        </w:tc>
      </w:tr>
      <w:tr>
        <w:tc>
          <w:tcPr/>
          <w:p>
            <w:pPr>
              <w:pStyle w:val="Compact"/>
            </w:pPr>
            <w:r>
              <w:t xml:space="preserve">Evidence and artifact store</w:t>
            </w:r>
          </w:p>
        </w:tc>
        <w:tc>
          <w:tcPr/>
          <w:p>
            <w:pPr>
              <w:pStyle w:val="Compact"/>
            </w:pPr>
            <w:r>
              <w:t xml:space="preserve">Retain releases, inventories, attestations, register</w:t>
            </w:r>
          </w:p>
        </w:tc>
        <w:tc>
          <w:tcPr/>
          <w:p>
            <w:pPr>
              <w:pStyle w:val="Compact"/>
            </w:pPr>
            <w:r>
              <w:t xml:space="preserve">Section 10's archive, and every claim that rests on it</w:t>
            </w:r>
          </w:p>
        </w:tc>
      </w:tr>
    </w:tbl>
    <w:p>
      <w:pPr>
        <w:pStyle w:val="BodyText"/>
      </w:pPr>
      <w:r>
        <w:t xml:space="preserve">This is also where section 10's</w:t>
      </w:r>
      <w:r>
        <w:t xml:space="preserve"> </w:t>
      </w:r>
      <w:r>
        <w:rPr>
          <w:i/>
          <w:iCs/>
        </w:rPr>
        <w:t xml:space="preserve">keyless signing moves the threat model, it does not remove it</w:t>
      </w:r>
      <w:r>
        <w:t xml:space="preserve"> </w:t>
      </w:r>
      <w:r>
        <w:t xml:space="preserve">puts</w:t>
      </w:r>
      <w:r>
        <w:t xml:space="preserve"> </w:t>
      </w:r>
      <w:r>
        <w:t xml:space="preserve">the load it relocates. That sentence names a relocation and, without this table, the load has nowhere</w:t>
      </w:r>
      <w:r>
        <w:t xml:space="preserve"> </w:t>
      </w:r>
      <w:r>
        <w:t xml:space="preserve">to land.</w:t>
      </w:r>
    </w:p>
    <w:p>
      <w:pPr>
        <w:pStyle w:val="BodyText"/>
      </w:pPr>
      <w:r>
        <w:t xml:space="preserve">Right-size the ongoing part honestly. For a small team, monitoring a provider means subscribing to its</w:t>
      </w:r>
      <w:r>
        <w:t xml:space="preserve"> </w:t>
      </w:r>
      <w:r>
        <w:t xml:space="preserve">status and security advisory feeds and actually reading them, not auditing it. Write that, rather than</w:t>
      </w:r>
      <w:r>
        <w:t xml:space="preserve"> </w:t>
      </w:r>
      <w:r>
        <w:t xml:space="preserve">an oversight sentence nobody performs. The table is a written artifact: it introduces no new blocking</w:t>
      </w:r>
      <w:r>
        <w:t xml:space="preserve"> </w:t>
      </w:r>
      <w:r>
        <w:t xml:space="preserve">release condition and weakens nothing above it.</w:t>
      </w:r>
    </w:p>
    <w:bookmarkEnd w:id="20"/>
    <w:bookmarkStart w:id="21" w:name="X5d46b3bfadc8b2b87d8791de125bb6253b37e18"/>
    <w:p>
      <w:pPr>
        <w:pStyle w:val="Heading3"/>
      </w:pPr>
      <w:r>
        <w:t xml:space="preserve">What "restricted data" means here, exactly once</w:t>
      </w:r>
    </w:p>
    <w:p>
      <w:pPr>
        <w:pStyle w:val="FirstParagraph"/>
      </w:pPr>
      <w:r>
        <w:rPr>
          <w:b/>
          <w:bCs/>
        </w:rPr>
        <w:t xml:space="preserve">Define the data classes in one table, and let every other rule on this page point at it rather than</w:t>
      </w:r>
      <w:r>
        <w:rPr>
          <w:b/>
          <w:bCs/>
        </w:rPr>
        <w:t xml:space="preserve"> </w:t>
      </w:r>
      <w:r>
        <w:rPr>
          <w:b/>
          <w:bCs/>
        </w:rPr>
        <w:t xml:space="preserve">carry an adjective of its own.</w:t>
      </w:r>
      <w:r>
        <w:t xml:space="preserve"> </w:t>
      </w:r>
      <w:r>
        <w:rPr>
          <w:b/>
          <w:bCs/>
        </w:rPr>
        <w:t xml:space="preserve">[prompted by: 800-53 SC-28]</w:t>
      </w:r>
      <w:r>
        <w:t xml:space="preserve"> </w:t>
      </w:r>
      <w:r>
        <w:t xml:space="preserve">One row per class of data the</w:t>
      </w:r>
      <w:r>
        <w:t xml:space="preserve"> </w:t>
      </w:r>
      <w:r>
        <w:t xml:space="preserve">software handles, with five columns: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What goes in it</w:t>
            </w:r>
          </w:p>
        </w:tc>
      </w:tr>
      <w:tr>
        <w:tc>
          <w:tcPr/>
          <w:p>
            <w:pPr>
              <w:pStyle w:val="Compact"/>
            </w:pPr>
            <w:r>
              <w:t xml:space="preserve">Class</w:t>
            </w:r>
          </w:p>
        </w:tc>
        <w:tc>
          <w:tcPr/>
          <w:p>
            <w:pPr>
              <w:pStyle w:val="Compact"/>
            </w:pPr>
            <w:r>
              <w:t xml:space="preserve">The name this document and your code both use for it</w:t>
            </w:r>
          </w:p>
        </w:tc>
      </w:tr>
      <w:tr>
        <w:tc>
          <w:tcPr/>
          <w:p>
            <w:pPr>
              <w:pStyle w:val="Compact"/>
            </w:pPr>
            <w:r>
              <w:t xml:space="preserve">Enters through</w:t>
            </w:r>
          </w:p>
        </w:tc>
        <w:tc>
          <w:tcPr/>
          <w:p>
            <w:pPr>
              <w:pStyle w:val="Compact"/>
            </w:pPr>
            <w:r>
              <w:t xml:space="preserve">Which trust boundary from section 2 it arrives on</w:t>
            </w:r>
          </w:p>
        </w:tc>
      </w:tr>
      <w:tr>
        <w:tc>
          <w:tcPr/>
          <w:p>
            <w:pPr>
              <w:pStyle w:val="Compact"/>
            </w:pPr>
            <w:r>
              <w:t xml:space="preserve">Comes to rest in</w:t>
            </w:r>
          </w:p>
        </w:tc>
        <w:tc>
          <w:tcPr/>
          <w:p>
            <w:pPr>
              <w:pStyle w:val="Compact"/>
            </w:pPr>
            <w:r>
              <w:rPr>
                <w:b/>
                <w:bCs/>
              </w:rPr>
              <w:t xml:space="preserve">Every</w:t>
            </w:r>
            <w:r>
              <w:t xml:space="preserve"> </w:t>
            </w:r>
            <w:r>
              <w:t xml:space="preserve">place, not the obvious one: primary store, application log, audit log, temporary and spool files, crash dumps, diagnostic and support bundles, exports, published artifacts, test fixtures, and the context handed to an AI coding assistant</w:t>
            </w:r>
          </w:p>
        </w:tc>
      </w:tr>
      <w:tr>
        <w:tc>
          <w:tcPr/>
          <w:p>
            <w:pPr>
              <w:pStyle w:val="Compact"/>
            </w:pPr>
            <w:r>
              <w:t xml:space="preserve">Protected how</w:t>
            </w:r>
          </w:p>
        </w:tc>
        <w:tc>
          <w:tcPr/>
          <w:p>
            <w:pPr>
              <w:pStyle w:val="Compact"/>
            </w:pPr>
            <w:r>
              <w:t xml:space="preserve">The protection at each of those resting places, and where the key material for it lives</w:t>
            </w:r>
          </w:p>
        </w:tc>
      </w:tr>
      <w:tr>
        <w:tc>
          <w:tcPr/>
          <w:p>
            <w:pPr>
              <w:pStyle w:val="Compact"/>
            </w:pPr>
            <w:r>
              <w:t xml:space="preserve">Kept how long</w:t>
            </w:r>
          </w:p>
        </w:tc>
        <w:tc>
          <w:tcPr/>
          <w:p>
            <w:pPr>
              <w:pStyle w:val="Compact"/>
            </w:pPr>
            <w:r>
              <w:t xml:space="preserve">The shipped retention default, and the documented path that deletes it</w:t>
            </w:r>
          </w:p>
        </w:tc>
      </w:tr>
    </w:tbl>
    <w:p>
      <w:pPr>
        <w:pStyle w:val="BodyText"/>
      </w:pPr>
      <w:r>
        <w:t xml:space="preserve">Classes that recur: credentials and key material; data restricted under a regime the adopting</w:t>
      </w:r>
      <w:r>
        <w:t xml:space="preserve"> </w:t>
      </w:r>
      <w:r>
        <w:t xml:space="preserve">organization operates under; operational telemetry that identifies a person or a site; and the</w:t>
      </w:r>
      <w:r>
        <w:t xml:space="preserve"> </w:t>
      </w:r>
      <w:r>
        <w:t xml:space="preserve">published artifact and its metadata, which is public by construction and belongs in the table</w:t>
      </w:r>
      <w:r>
        <w:t xml:space="preserve"> </w:t>
      </w:r>
      <w:r>
        <w:t xml:space="preserve">precisely so that is written down rather than assumed.</w:t>
      </w:r>
    </w:p>
    <w:p>
      <w:pPr>
        <w:pStyle w:val="BodyText"/>
      </w:pPr>
      <w:r>
        <w:t xml:space="preserve">The third column is the one that earns the table. "At rest" is commonly read as a property of a</w:t>
      </w:r>
      <w:r>
        <w:t xml:space="preserve"> </w:t>
      </w:r>
      <w:r>
        <w:t xml:space="preserve">storage device, and read that way it covers the primary store and misses the rotating log file, the</w:t>
      </w:r>
      <w:r>
        <w:t xml:space="preserve"> </w:t>
      </w:r>
      <w:r>
        <w:t xml:space="preserve">crash dump and the support bundle -- which hold the same content, in the same state, with none of the</w:t>
      </w:r>
      <w:r>
        <w:t xml:space="preserve"> </w:t>
      </w:r>
      <w:r>
        <w:t xml:space="preserve">protection. Rate the</w:t>
      </w:r>
      <w:r>
        <w:t xml:space="preserve"> </w:t>
      </w:r>
      <w:r>
        <w:rPr>
          <w:b/>
          <w:bCs/>
        </w:rPr>
        <w:t xml:space="preserve">state of the information</w:t>
      </w:r>
      <w:r>
        <w:t xml:space="preserve">, not the device it happens to sit on and not how</w:t>
      </w:r>
      <w:r>
        <w:t xml:space="preserve"> </w:t>
      </w:r>
      <w:r>
        <w:t xml:space="preserve">often anything reads it.</w:t>
      </w:r>
    </w:p>
    <w:p>
      <w:pPr>
        <w:pStyle w:val="BodyText"/>
      </w:pPr>
      <w:r>
        <w:rPr>
          <w:b/>
          <w:bCs/>
        </w:rPr>
        <w:t xml:space="preserve">Rate each class against the three security objectives, at three impact levels.</w:t>
      </w:r>
      <w:r>
        <w:t xml:space="preserve"> </w:t>
      </w:r>
      <w:r>
        <w:rPr>
          <w:b/>
          <w:bCs/>
        </w:rPr>
        <w:t xml:space="preserve">[derived: FIPS 199]</w:t>
      </w:r>
      <w:r>
        <w:t xml:space="preserve"> </w:t>
      </w:r>
      <w:r>
        <w:t xml:space="preserve">Confidentiality, integrity and availability, each low, moderate or high. That</w:t>
      </w:r>
      <w:r>
        <w:t xml:space="preserve"> </w:t>
      </w:r>
      <w:r>
        <w:t xml:space="preserve">is the whole of the vocabulary this document needs, and it is enough.</w:t>
      </w:r>
    </w:p>
    <w:p>
      <w:pPr>
        <w:pStyle w:val="BodyText"/>
      </w:pPr>
      <w:r>
        <w:rPr>
          <w:b/>
          <w:bCs/>
        </w:rPr>
        <w:t xml:space="preserve">Restricted data</w:t>
      </w:r>
      <w:r>
        <w:t xml:space="preserve">, everywhere else on this page, means any class your own filled-in copy of that</w:t>
      </w:r>
      <w:r>
        <w:t xml:space="preserve"> </w:t>
      </w:r>
      <w:r>
        <w:t xml:space="preserve">table rates above low on confidentiality or integrity. Deliberately not "the top impact level": this</w:t>
      </w:r>
      <w:r>
        <w:t xml:space="preserve"> </w:t>
      </w:r>
      <w:r>
        <w:t xml:space="preserve">term replaced an open-ended adjective that five earlier rules on this page already carried, and a</w:t>
      </w:r>
      <w:r>
        <w:t xml:space="preserve"> </w:t>
      </w:r>
      <w:r>
        <w:t xml:space="preserve">definition narrower than the adjective it replaces silently weakens all five -- it would let a</w:t>
      </w:r>
      <w:r>
        <w:t xml:space="preserve"> </w:t>
      </w:r>
      <w:r>
        <w:t xml:space="preserve">class rated moderate travel in cleartext, rest unencrypted, and be logged at informational level,</w:t>
      </w:r>
      <w:r>
        <w:t xml:space="preserve"> </w:t>
      </w:r>
      <w:r>
        <w:t xml:space="preserve">with no edit to any of those rules and nothing in the diff to show it. If you want a stricter tier</w:t>
      </w:r>
      <w:r>
        <w:t xml:space="preserve"> </w:t>
      </w:r>
      <w:r>
        <w:t xml:space="preserve">for one specific ratchet, name that ratchet where it is stated and leave the rest quantified over the</w:t>
      </w:r>
      <w:r>
        <w:t xml:space="preserve"> </w:t>
      </w:r>
      <w:r>
        <w:t xml:space="preserve">broader set. That is the single definition, and sections 3, 6, 7, 8 and 9 resolve their ratchets</w:t>
      </w:r>
      <w:r>
        <w:t xml:space="preserve"> </w:t>
      </w:r>
      <w:r>
        <w:t xml:space="preserve">against it instead of each carrying an adjective. If a rule elsewhere says restricted data and your</w:t>
      </w:r>
      <w:r>
        <w:t xml:space="preserve"> </w:t>
      </w:r>
      <w:r>
        <w:t xml:space="preserve">table has no row that matches, the finding is the missing row.</w:t>
      </w:r>
    </w:p>
    <w:p>
      <w:pPr>
        <w:pStyle w:val="BodyText"/>
      </w:pPr>
      <w:r>
        <w:t xml:space="preserve">Two honest limits, in the same paragraph as the rule. The table supplies the</w:t>
      </w:r>
      <w:r>
        <w:t xml:space="preserve"> </w:t>
      </w:r>
      <w:r>
        <w:rPr>
          <w:b/>
          <w:bCs/>
        </w:rPr>
        <w:t xml:space="preserve">scope</w:t>
      </w:r>
      <w:r>
        <w:t xml:space="preserve"> </w:t>
      </w:r>
      <w:r>
        <w:t xml:space="preserve">of at-rest</w:t>
      </w:r>
      <w:r>
        <w:t xml:space="preserve"> </w:t>
      </w:r>
      <w:r>
        <w:t xml:space="preserve">protection and the retention default -- what the rule is quantified over, and for how long. It</w:t>
      </w:r>
      <w:r>
        <w:t xml:space="preserve"> </w:t>
      </w:r>
      <w:r>
        <w:t xml:space="preserve">supplies no storage mechanism, and adopting it does not by itself make anything encrypted; it makes</w:t>
      </w:r>
      <w:r>
        <w:t xml:space="preserve"> </w:t>
      </w:r>
      <w:r>
        <w:t xml:space="preserve">the existing default in section 7 checkable, which it was not before. And it is a written artifact</w:t>
      </w:r>
      <w:r>
        <w:t xml:space="preserve"> </w:t>
      </w:r>
      <w:r>
        <w:t xml:space="preserve">rather than a release gate: it adds no blocking condition and weakens no requirement above it.</w:t>
      </w:r>
    </w:p>
    <w:p>
      <w:r>
        <w:pict>
          <v:rect style="width:0;height:1.5pt" o:hralign="center" o:hrstd="t" o:hr="t"/>
        </w:pict>
      </w:r>
    </w:p>
    <w:bookmarkEnd w:id="21"/>
    <w:bookmarkEnd w:id="22"/>
    <w:bookmarkStart w:id="25" w:name="Xac02c7d32d5bb277c9e44f3436addfe1b1747df"/>
    <w:p>
      <w:pPr>
        <w:pStyle w:val="Heading2"/>
      </w:pPr>
      <w:r>
        <w:t xml:space="preserve">2. Threat model each trust boundary before you build it</w:t>
      </w:r>
    </w:p>
    <w:p>
      <w:pPr>
        <w:pStyle w:val="FirstParagraph"/>
      </w:pPr>
      <w:r>
        <w:t xml:space="preserve">A</w:t>
      </w:r>
      <w:r>
        <w:t xml:space="preserve"> </w:t>
      </w:r>
      <w:r>
        <w:rPr>
          <w:b/>
          <w:bCs/>
        </w:rPr>
        <w:t xml:space="preserve">trust boundary</w:t>
      </w:r>
      <w:r>
        <w:t xml:space="preserve"> </w:t>
      </w:r>
      <w:r>
        <w:t xml:space="preserve">is anywhere input you do not control crosses into code you do. A network</w:t>
      </w:r>
      <w:r>
        <w:t xml:space="preserve"> </w:t>
      </w:r>
      <w:r>
        <w:t xml:space="preserve">interface is one. So is a command line, a file dropped in a watched directory, a scheduled job</w:t>
      </w:r>
      <w:r>
        <w:t xml:space="preserve"> </w:t>
      </w:r>
      <w:r>
        <w:t xml:space="preserve">reading shared storage, a queue consumer, a webhook, an inter-process channel, and a database</w:t>
      </w:r>
      <w:r>
        <w:t xml:space="preserve"> </w:t>
      </w:r>
      <w:r>
        <w:t xml:space="preserve">somebody else writes to. If your system has no network interfaces at all, it still has boundaries.</w:t>
      </w:r>
    </w:p>
    <w:p>
      <w:pPr>
        <w:pStyle w:val="BodyText"/>
      </w:pPr>
      <w:r>
        <w:t xml:space="preserve">Every boundary and component gets a written, lightweight threat model. It names a mitigation for each</w:t>
      </w:r>
      <w:r>
        <w:t xml:space="preserve"> </w:t>
      </w:r>
      <w:r>
        <w:t xml:space="preserve">way in, and puts a constraining control on each piece of dangerous functionality and each</w:t>
      </w:r>
      <w:r>
        <w:t xml:space="preserve"> </w:t>
      </w:r>
      <w:r>
        <w:t xml:space="preserve">third-party component it pulls in.</w:t>
      </w:r>
    </w:p>
    <w:p>
      <w:pPr>
        <w:pStyle w:val="BodyText"/>
      </w:pPr>
      <w:r>
        <w:t xml:space="preserve">Three properties make it worth writing:</w:t>
      </w:r>
    </w:p>
    <w:p>
      <w:pPr>
        <w:pStyle w:val="Compact"/>
        <w:numPr>
          <w:ilvl w:val="0"/>
          <w:numId w:val="1007"/>
        </w:numPr>
      </w:pPr>
      <w:r>
        <w:rPr>
          <w:b/>
          <w:bCs/>
        </w:rPr>
        <w:t xml:space="preserve">Reviewed against the security requirements before code exists.</w:t>
      </w:r>
      <w:r>
        <w:t xml:space="preserve"> </w:t>
      </w:r>
      <w:r>
        <w:t xml:space="preserve">After the build it becomes</w:t>
      </w:r>
      <w:r>
        <w:t xml:space="preserve"> </w:t>
      </w:r>
      <w:r>
        <w:t xml:space="preserve">documentation; before the build it is a design gate.</w:t>
      </w:r>
    </w:p>
    <w:p>
      <w:pPr>
        <w:pStyle w:val="Compact"/>
        <w:numPr>
          <w:ilvl w:val="0"/>
          <w:numId w:val="1007"/>
        </w:numPr>
      </w:pPr>
      <w:r>
        <w:rPr>
          <w:b/>
          <w:bCs/>
        </w:rPr>
        <w:t xml:space="preserve">The specification the later review checks against.</w:t>
      </w:r>
      <w:r>
        <w:t xml:space="preserve"> </w:t>
      </w:r>
      <w:r>
        <w:t xml:space="preserve">The reviewed artifact plus its acceptance</w:t>
      </w:r>
      <w:r>
        <w:t xml:space="preserve"> </w:t>
      </w:r>
      <w:r>
        <w:t xml:space="preserve">criteria are what a change is compared to -- without them, review has nothing but taste.</w:t>
      </w:r>
    </w:p>
    <w:p>
      <w:pPr>
        <w:pStyle w:val="Compact"/>
        <w:numPr>
          <w:ilvl w:val="0"/>
          <w:numId w:val="1007"/>
        </w:numPr>
      </w:pPr>
      <w:r>
        <w:rPr>
          <w:b/>
          <w:bCs/>
        </w:rPr>
        <w:t xml:space="preserve">Artifact-checked and advisory, not a scanner.</w:t>
      </w:r>
      <w:r>
        <w:t xml:space="preserve"> </w:t>
      </w:r>
      <w:r>
        <w:t xml:space="preserve">Do not pretend otherwise: nothing mechanical</w:t>
      </w:r>
      <w:r>
        <w:t xml:space="preserve"> </w:t>
      </w:r>
      <w:r>
        <w:t xml:space="preserve">verifies that a threat model is good, and a gate can only verify that one exists for a boundary</w:t>
      </w:r>
      <w:r>
        <w:t xml:space="preserve"> </w:t>
      </w:r>
      <w:r>
        <w:t xml:space="preserve">that was added.</w:t>
      </w:r>
    </w:p>
    <w:p>
      <w:pPr>
        <w:pStyle w:val="FirstParagraph"/>
      </w:pPr>
      <w:r>
        <w:t xml:space="preserve">The highest-value form is boring: a list of every place unknown-provenance data or code enters, and</w:t>
      </w:r>
      <w:r>
        <w:t xml:space="preserve"> </w:t>
      </w:r>
      <w:r>
        <w:t xml:space="preserve">against each one the specific thing that bounds it. When a new ingress is added and nobody can name</w:t>
      </w:r>
      <w:r>
        <w:t xml:space="preserve"> </w:t>
      </w:r>
      <w:r>
        <w:t xml:space="preserve">its mitigation, that is the finding.</w:t>
      </w:r>
    </w:p>
    <w:p>
      <w:pPr>
        <w:pStyle w:val="BodyText"/>
      </w:pPr>
      <w:r>
        <w:rPr>
          <w:b/>
          <w:bCs/>
        </w:rPr>
        <w:t xml:space="preserve">Name a bound on resource consumption for every boundary, not only the parsing ones.</w:t>
      </w:r>
      <w:r>
        <w:t xml:space="preserve"> </w:t>
      </w:r>
      <w:r>
        <w:rPr>
          <w:b/>
          <w:bCs/>
        </w:rPr>
        <w:t xml:space="preserve">[prompted by: 800-53 SC-5]</w:t>
      </w:r>
      <w:r>
        <w:t xml:space="preserve"> </w:t>
      </w:r>
      <w:r>
        <w:t xml:space="preserve">The questions in this section and the list in section 3 cover</w:t>
      </w:r>
      <w:r>
        <w:t xml:space="preserve"> </w:t>
      </w:r>
      <w:r>
        <w:t xml:space="preserve">confidentiality and integrity almost exclusively, and the one availability control on this page --</w:t>
      </w:r>
      <w:r>
        <w:t xml:space="preserve"> </w:t>
      </w:r>
      <w:r>
        <w:t xml:space="preserve">rate limits and timeouts -- used to sit inside section 3's structured-document bullet, as though a</w:t>
      </w:r>
      <w:r>
        <w:t xml:space="preserve"> </w:t>
      </w:r>
      <w:r>
        <w:t xml:space="preserve">parser were the only thing that can be exhausted; that bullet now points here instead. Availability</w:t>
      </w:r>
      <w:r>
        <w:t xml:space="preserve"> </w:t>
      </w:r>
      <w:r>
        <w:t xml:space="preserve">is a co-equal third objective. So for each boundary in the model, name the maximum payload size, the</w:t>
      </w:r>
      <w:r>
        <w:t xml:space="preserve"> </w:t>
      </w:r>
      <w:r>
        <w:t xml:space="preserve">request rate, the concurrency and the total time budget that a hostile input cannot exceed. An</w:t>
      </w:r>
      <w:r>
        <w:t xml:space="preserve"> </w:t>
      </w:r>
      <w:r>
        <w:t xml:space="preserve">unbounded boundary is a finding in the same way an unmitigated ingress is.</w:t>
      </w:r>
    </w:p>
    <w:p>
      <w:pPr>
        <w:pStyle w:val="BodyText"/>
      </w:pPr>
      <w:r>
        <w:t xml:space="preserve">The evidence is cheap, and it is the same shape as</w:t>
      </w:r>
      <w:r>
        <w:t xml:space="preserve"> </w:t>
      </w:r>
      <w:r>
        <w:rPr>
          <w:i/>
          <w:iCs/>
        </w:rPr>
        <w:t xml:space="preserve">enumerate the sibling paths</w:t>
      </w:r>
      <w:r>
        <w:t xml:space="preserve"> </w:t>
      </w:r>
      <w:r>
        <w:t xml:space="preserve">in section 5: the</w:t>
      </w:r>
      <w:r>
        <w:t xml:space="preserve"> </w:t>
      </w:r>
      <w:r>
        <w:t xml:space="preserve">bound is a constant in the code, so the check is one grep from each row of the boundary list to the</w:t>
      </w:r>
      <w:r>
        <w:t xml:space="preserve"> </w:t>
      </w:r>
      <w:r>
        <w:t xml:space="preserve">constant that enforces it. The common residual is the limit set on the boundary somebody thought</w:t>
      </w:r>
      <w:r>
        <w:t xml:space="preserve"> </w:t>
      </w:r>
      <w:r>
        <w:t xml:space="preserve">about and absent on its three siblings. Naming the bound records what is already there or reveals</w:t>
      </w:r>
      <w:r>
        <w:t xml:space="preserve"> </w:t>
      </w:r>
      <w:r>
        <w:t xml:space="preserve">that it is not; it introduces no new blocking release gate.</w:t>
      </w:r>
    </w:p>
    <w:p>
      <w:pPr>
        <w:pStyle w:val="BodyText"/>
      </w:pPr>
      <w:r>
        <w:rPr>
          <w:b/>
          <w:bCs/>
        </w:rPr>
        <w:t xml:space="preserve">Run a malformed-input harness against the code behind every ingress in that list.</w:t>
      </w:r>
      <w:r>
        <w:t xml:space="preserve"> </w:t>
      </w:r>
      <w:r>
        <w:rPr>
          <w:b/>
          <w:bCs/>
        </w:rPr>
        <w:t xml:space="preserve">[derived: 800-53 SA-11(8)]</w:t>
      </w:r>
      <w:r>
        <w:t xml:space="preserve"> </w:t>
      </w:r>
      <w:r>
        <w:t xml:space="preserve">Seed it from that boundary's own format, run it on a schedule rather</w:t>
      </w:r>
      <w:r>
        <w:t xml:space="preserve"> </w:t>
      </w:r>
      <w:r>
        <w:t xml:space="preserve">than on every change, commit the corpus, and turn every crash it finds into a regression test. This</w:t>
      </w:r>
      <w:r>
        <w:t xml:space="preserve"> </w:t>
      </w:r>
      <w:r>
        <w:t xml:space="preserve">is developer-run dynamic testing, and it is available to a project that cannot fund an outside</w:t>
      </w:r>
      <w:r>
        <w:t xml:space="preserve"> </w:t>
      </w:r>
      <w:r>
        <w:t xml:space="preserve">engagement -- see the correction in section 15, where this document previously said otherwise.</w:t>
      </w:r>
    </w:p>
    <w:p>
      <w:pPr>
        <w:pStyle w:val="BodyText"/>
      </w:pPr>
      <w:r>
        <w:t xml:space="preserve">Section 5 classifies it, explicitly, as</w:t>
      </w:r>
      <w:r>
        <w:t xml:space="preserve"> </w:t>
      </w:r>
      <w:r>
        <w:rPr>
          <w:b/>
          <w:bCs/>
        </w:rPr>
        <w:t xml:space="preserve">advisory</w:t>
      </w:r>
      <w:r>
        <w:t xml:space="preserve">: a scheduled job is by that section's definition</w:t>
      </w:r>
      <w:r>
        <w:t xml:space="preserve"> </w:t>
      </w:r>
      <w:r>
        <w:t xml:space="preserve">not coverage, and this one must not be wired to block, because its triage burden lands on the same</w:t>
      </w:r>
      <w:r>
        <w:t xml:space="preserve"> </w:t>
      </w:r>
      <w:r>
        <w:t xml:space="preserve">person who would otherwise be shipping. Carry the coverage hedge with it: a fuzzer that never gets</w:t>
      </w:r>
      <w:r>
        <w:t xml:space="preserve"> </w:t>
      </w:r>
      <w:r>
        <w:t xml:space="preserve">past the first parse call is the dynamic-testing equivalent of a clean run on a weak ruleset. And be</w:t>
      </w:r>
      <w:r>
        <w:t xml:space="preserve"> </w:t>
      </w:r>
      <w:r>
        <w:t xml:space="preserve">precise about reach: this gets at parser, decoder and boundary surfaces, not at the whole built</w:t>
      </w:r>
      <w:r>
        <w:t xml:space="preserve"> </w:t>
      </w:r>
      <w:r>
        <w:t xml:space="preserve">artifact, so it narrows the dynamic-testing gap rather than closing it. Do not write it up as</w:t>
      </w:r>
      <w:r>
        <w:t xml:space="preserve"> </w:t>
      </w:r>
      <w:r>
        <w:t xml:space="preserve">closed.</w:t>
      </w:r>
    </w:p>
    <w:bookmarkStart w:id="23" w:name="Xbe20b8a6bd9af0d1e04ce040fc03c6beb08f178"/>
    <w:p>
      <w:pPr>
        <w:pStyle w:val="Heading3"/>
      </w:pPr>
      <w:r>
        <w:t xml:space="preserve">A diagram without marked trust boundaries is not a security artifact</w:t>
      </w:r>
    </w:p>
    <w:p>
      <w:pPr>
        <w:pStyle w:val="FirstParagraph"/>
      </w:pPr>
      <w:r>
        <w:t xml:space="preserve">The model above is a list, and a list is hard to check for absence: nobody notices the ingress that</w:t>
      </w:r>
      <w:r>
        <w:t xml:space="preserve"> </w:t>
      </w:r>
      <w:r>
        <w:t xml:space="preserve">was never written down. Draw the same thing. One diagram per system, showing at least the external</w:t>
      </w:r>
      <w:r>
        <w:t xml:space="preserve"> </w:t>
      </w:r>
      <w:r>
        <w:t xml:space="preserve">entities, the processes, the data stores, and the flows between them -- with the trust boundaries</w:t>
      </w:r>
      <w:r>
        <w:t xml:space="preserve"> </w:t>
      </w:r>
      <w:r>
        <w:t xml:space="preserve">drawn on it, as lines the flows cross.</w:t>
      </w:r>
    </w:p>
    <w:p>
      <w:pPr>
        <w:pStyle w:val="BodyText"/>
      </w:pPr>
      <w:r>
        <w:rPr>
          <w:b/>
          <w:bCs/>
        </w:rPr>
        <w:t xml:space="preserve">The boundaries are the whole of what makes it a security artifact.</w:t>
      </w:r>
      <w:r>
        <w:t xml:space="preserve"> </w:t>
      </w:r>
      <w:r>
        <w:t xml:space="preserve">Components and arrows with no</w:t>
      </w:r>
      <w:r>
        <w:t xml:space="preserve"> </w:t>
      </w:r>
      <w:r>
        <w:t xml:space="preserve">boundaries marked is architecture documentation. It is useful, it is not this, and the failure mode is</w:t>
      </w:r>
      <w:r>
        <w:t xml:space="preserve"> </w:t>
      </w:r>
      <w:r>
        <w:t xml:space="preserve">specific rather than pedantic: it gets found later by somebody who reads it as a threat model, because</w:t>
      </w:r>
      <w:r>
        <w:t xml:space="preserve"> </w:t>
      </w:r>
      <w:r>
        <w:t xml:space="preserve">it is the only picture in the repository and it looks like one. Mark on the diagram itself which lines</w:t>
      </w:r>
      <w:r>
        <w:t xml:space="preserve"> </w:t>
      </w:r>
      <w:r>
        <w:t xml:space="preserve">are boundaries, or do not file it as a threat modeling artifact.</w:t>
      </w:r>
    </w:p>
    <w:p>
      <w:pPr>
        <w:pStyle w:val="BodyText"/>
      </w:pPr>
      <w:r>
        <w:rPr>
          <w:b/>
          <w:bCs/>
        </w:rPr>
        <w:t xml:space="preserve">It is one artifact in two forms, and the check is that they agree.</w:t>
      </w:r>
      <w:r>
        <w:t xml:space="preserve"> </w:t>
      </w:r>
      <w:r>
        <w:t xml:space="preserve">Every crossing on the diagram</w:t>
      </w:r>
      <w:r>
        <w:t xml:space="preserve"> </w:t>
      </w:r>
      <w:r>
        <w:t xml:space="preserve">has a row in the boundary list, and every row in the list has a crossing on the diagram. That two-way</w:t>
      </w:r>
      <w:r>
        <w:t xml:space="preserve"> </w:t>
      </w:r>
      <w:r>
        <w:t xml:space="preserve">check is what the picture buys over the list alone, and it is a read-through rather than a tool. Label</w:t>
      </w:r>
      <w:r>
        <w:t xml:space="preserve"> </w:t>
      </w:r>
      <w:r>
        <w:t xml:space="preserve">each flow with the data class it carries, from section 1's table, and that table's</w:t>
      </w:r>
      <w:r>
        <w:t xml:space="preserve"> </w:t>
      </w:r>
      <w:r>
        <w:rPr>
          <w:i/>
          <w:iCs/>
        </w:rPr>
        <w:t xml:space="preserve">enters through</w:t>
      </w:r>
      <w:r>
        <w:t xml:space="preserve"> </w:t>
      </w:r>
      <w:r>
        <w:t xml:space="preserve">column becomes checkable in both directions rather than being a field somebody filled in once.</w:t>
      </w:r>
    </w:p>
    <w:p>
      <w:pPr>
        <w:pStyle w:val="BodyText"/>
      </w:pPr>
      <w:r>
        <w:rPr>
          <w:b/>
          <w:bCs/>
        </w:rPr>
        <w:t xml:space="preserve">Keep the source in the repository, in a text format that diffs.</w:t>
      </w:r>
      <w:r>
        <w:t xml:space="preserve"> </w:t>
      </w:r>
      <w:r>
        <w:t xml:space="preserve">A binary drawing in a shared folder</w:t>
      </w:r>
      <w:r>
        <w:t xml:space="preserve"> </w:t>
      </w:r>
      <w:r>
        <w:t xml:space="preserve">cannot be reviewed inside a change and is stale by the time anyone opens it. A diagram whose source is</w:t>
      </w:r>
      <w:r>
        <w:t xml:space="preserve"> </w:t>
      </w:r>
      <w:r>
        <w:t xml:space="preserve">text shows a new boundary as an added line in a diff, which is the same property that makes the</w:t>
      </w:r>
      <w:r>
        <w:t xml:space="preserve"> </w:t>
      </w:r>
      <w:r>
        <w:t xml:space="preserve">boundary list worth keeping in the first place. Any format with a text source works, and this document</w:t>
      </w:r>
      <w:r>
        <w:t xml:space="preserve"> </w:t>
      </w:r>
      <w:r>
        <w:t xml:space="preserve">names none, because the property is diffability rather than a tool.</w:t>
      </w:r>
    </w:p>
    <w:p>
      <w:pPr>
        <w:pStyle w:val="BodyText"/>
      </w:pPr>
      <w:r>
        <w:t xml:space="preserve">Two honest limits, in the same paragraph as the rule.</w:t>
      </w:r>
      <w:r>
        <w:t xml:space="preserve"> </w:t>
      </w:r>
      <w:r>
        <w:rPr>
          <w:b/>
          <w:bCs/>
        </w:rPr>
        <w:t xml:space="preserve">The diagram establishes nothing about the</w:t>
      </w:r>
      <w:r>
        <w:rPr>
          <w:b/>
          <w:bCs/>
        </w:rPr>
        <w:t xml:space="preserve"> </w:t>
      </w:r>
      <w:r>
        <w:rPr>
          <w:b/>
          <w:bCs/>
        </w:rPr>
        <w:t xml:space="preserve">code.</w:t>
      </w:r>
      <w:r>
        <w:t xml:space="preserve"> </w:t>
      </w:r>
      <w:r>
        <w:t xml:space="preserve">It records what somebody believed the boundaries were; the code is where they actually are, and</w:t>
      </w:r>
      <w:r>
        <w:t xml:space="preserve"> </w:t>
      </w:r>
      <w:r>
        <w:t xml:space="preserve">the two diverge without a sound. Nothing mechanical verifies it, which is the caveat this section</w:t>
      </w:r>
      <w:r>
        <w:t xml:space="preserve"> </w:t>
      </w:r>
      <w:r>
        <w:t xml:space="preserve">already carries for the threat model itself and is not weakened by adding a picture to it. And it goes</w:t>
      </w:r>
      <w:r>
        <w:t xml:space="preserve"> </w:t>
      </w:r>
      <w:r>
        <w:t xml:space="preserve">stale on at least the events that stale that table -- a change that adds a data class, gives an</w:t>
      </w:r>
      <w:r>
        <w:t xml:space="preserve"> </w:t>
      </w:r>
      <w:r>
        <w:t xml:space="preserve">existing class a new resting place, or adds a boundary -- and on a few the table survives, among them</w:t>
      </w:r>
      <w:r>
        <w:t xml:space="preserve"> </w:t>
      </w:r>
      <w:r>
        <w:t xml:space="preserve">a flow rerouted, a data store added, and a boundary removed. Which is why it rides the event trigger</w:t>
      </w:r>
      <w:r>
        <w:t xml:space="preserve"> </w:t>
      </w:r>
      <w:r>
        <w:t xml:space="preserve">section 14 gives section 1's data-class table, and the row section 16's gate already carries for that</w:t>
      </w:r>
      <w:r>
        <w:t xml:space="preserve"> </w:t>
      </w:r>
      <w:r>
        <w:t xml:space="preserve">table, rather than adding a gate row or a fifth calendar item of its own. It is also a map of every way</w:t>
      </w:r>
      <w:r>
        <w:t xml:space="preserve"> </w:t>
      </w:r>
      <w:r>
        <w:t xml:space="preserve">into the system, so section 13's</w:t>
      </w:r>
      <w:r>
        <w:t xml:space="preserve"> </w:t>
      </w:r>
      <w:r>
        <w:rPr>
          <w:i/>
          <w:iCs/>
        </w:rPr>
        <w:t xml:space="preserve">publish the rule, not the inventory</w:t>
      </w:r>
      <w:r>
        <w:t xml:space="preserve"> </w:t>
      </w:r>
      <w:r>
        <w:t xml:space="preserve">governs what you do with it.</w:t>
      </w:r>
    </w:p>
    <w:p>
      <w:pPr>
        <w:pStyle w:val="BodyText"/>
      </w:pPr>
      <w:r>
        <w:t xml:space="preserve">Normative force: a written artifact, recommended. It introduces no new blocking release condition and</w:t>
      </w:r>
      <w:r>
        <w:t xml:space="preserve"> </w:t>
      </w:r>
      <w:r>
        <w:t xml:space="preserve">weakens nothing above it.</w:t>
      </w:r>
    </w:p>
    <w:bookmarkEnd w:id="23"/>
    <w:bookmarkStart w:id="24" w:name="Xe95926782a39bd4a0ad092566161170b8cb2e98"/>
    <w:p>
      <w:pPr>
        <w:pStyle w:val="Heading3"/>
      </w:pPr>
      <w:r>
        <w:t xml:space="preserve">Execution boundaries need the longest look</w:t>
      </w:r>
    </w:p>
    <w:p>
      <w:pPr>
        <w:pStyle w:val="FirstParagraph"/>
      </w:pPr>
      <w:r>
        <w:t xml:space="preserve">Trust boundaries where content becomes executable deserve more scrutiny than the rest. These</w:t>
      </w:r>
      <w:r>
        <w:t xml:space="preserve"> </w:t>
      </w:r>
      <w:r>
        <w:t xml:space="preserve">questions generalize:</w:t>
      </w:r>
    </w:p>
    <w:p>
      <w:pPr>
        <w:pStyle w:val="Compact"/>
        <w:numPr>
          <w:ilvl w:val="0"/>
          <w:numId w:val="1008"/>
        </w:numPr>
      </w:pPr>
      <w:r>
        <w:t xml:space="preserve">Is there any path that reaches execution without the vet running? Check every caller, not the</w:t>
      </w:r>
      <w:r>
        <w:t xml:space="preserve"> </w:t>
      </w:r>
      <w:r>
        <w:t xml:space="preserve">documented one.</w:t>
      </w:r>
    </w:p>
    <w:p>
      <w:pPr>
        <w:pStyle w:val="Compact"/>
        <w:numPr>
          <w:ilvl w:val="0"/>
          <w:numId w:val="1008"/>
        </w:numPr>
      </w:pPr>
      <w:r>
        <w:t xml:space="preserve">Does it fail closed, with no silent downgrade when the intended backend is absent?</w:t>
      </w:r>
    </w:p>
    <w:p>
      <w:pPr>
        <w:pStyle w:val="Compact"/>
        <w:numPr>
          <w:ilvl w:val="0"/>
          <w:numId w:val="1008"/>
        </w:numPr>
      </w:pPr>
      <w:r>
        <w:t xml:space="preserve">Is the load target validated against a fixed known set, so input cannot trigger an arbitrary</w:t>
      </w:r>
      <w:r>
        <w:t xml:space="preserve"> </w:t>
      </w:r>
      <w:r>
        <w:t xml:space="preserve">import?</w:t>
      </w:r>
    </w:p>
    <w:p>
      <w:pPr>
        <w:pStyle w:val="Compact"/>
        <w:numPr>
          <w:ilvl w:val="0"/>
          <w:numId w:val="1008"/>
        </w:numPr>
      </w:pPr>
      <w:r>
        <w:t xml:space="preserve">Does the vet cover the whole executable surface or only the obvious top level?</w:t>
      </w:r>
    </w:p>
    <w:p>
      <w:pPr>
        <w:pStyle w:val="Compact"/>
        <w:numPr>
          <w:ilvl w:val="0"/>
          <w:numId w:val="1008"/>
        </w:numPr>
      </w:pPr>
      <w:r>
        <w:t xml:space="preserve">Does it follow links, so a vetted-looking entry can point somewhere writable?</w:t>
      </w:r>
    </w:p>
    <w:p>
      <w:pPr>
        <w:pStyle w:val="Compact"/>
        <w:numPr>
          <w:ilvl w:val="0"/>
          <w:numId w:val="1008"/>
        </w:numPr>
      </w:pPr>
      <w:r>
        <w:t xml:space="preserve">Is the check skipped under a privileged account?</w:t>
      </w:r>
    </w:p>
    <w:p>
      <w:pPr>
        <w:pStyle w:val="Compact"/>
        <w:numPr>
          <w:ilvl w:val="0"/>
          <w:numId w:val="1008"/>
        </w:numPr>
      </w:pPr>
      <w:r>
        <w:t xml:space="preserve">Is there a platform on which the runtime check returns early and does nothing, making the real</w:t>
      </w:r>
      <w:r>
        <w:t xml:space="preserve"> </w:t>
      </w:r>
      <w:r>
        <w:t xml:space="preserve">boundary an install-time filesystem permission somebody has to confirm was applied?</w:t>
      </w:r>
    </w:p>
    <w:p>
      <w:pPr>
        <w:pStyle w:val="FirstParagraph"/>
      </w:pPr>
      <w:r>
        <w:t xml:space="preserve">That last one is the one most often missed.</w:t>
      </w:r>
    </w:p>
    <w:p>
      <w:r>
        <w:pict>
          <v:rect style="width:0;height:1.5pt" o:hralign="center" o:hrstd="t" o:hr="t"/>
        </w:pict>
      </w:r>
    </w:p>
    <w:bookmarkEnd w:id="24"/>
    <w:bookmarkEnd w:id="25"/>
    <w:bookmarkStart w:id="27" w:name="X856bc933e26f1c9456cb19e64981d263d6663dc"/>
    <w:p>
      <w:pPr>
        <w:pStyle w:val="Heading2"/>
      </w:pPr>
      <w:r>
        <w:t xml:space="preserve">3. Secure coding: the finite list a review can check</w:t>
      </w:r>
    </w:p>
    <w:p>
      <w:pPr>
        <w:pStyle w:val="FirstParagraph"/>
      </w:pPr>
      <w:r>
        <w:t xml:space="preserve">A short checkable list beats a principle, because "is this change secure" is not a question a</w:t>
      </w:r>
      <w:r>
        <w:t xml:space="preserve"> </w:t>
      </w:r>
      <w:r>
        <w:t xml:space="preserve">reviewer can answer and these are.</w:t>
      </w:r>
    </w:p>
    <w:p>
      <w:pPr>
        <w:pStyle w:val="Compact"/>
        <w:numPr>
          <w:ilvl w:val="0"/>
          <w:numId w:val="1009"/>
        </w:numPr>
      </w:pPr>
      <w:r>
        <w:rPr>
          <w:b/>
          <w:bCs/>
        </w:rPr>
        <w:t xml:space="preserve">Validate structure and content of every inbound payload at ingress.</w:t>
      </w:r>
      <w:r>
        <w:t xml:space="preserve"> </w:t>
      </w:r>
      <w:r>
        <w:t xml:space="preserve">Reject or quarantine</w:t>
      </w:r>
      <w:r>
        <w:t xml:space="preserve"> </w:t>
      </w:r>
      <w:r>
        <w:t xml:space="preserve">malformed input rather than processing it. An untrusted payload must be validated before it reaches</w:t>
      </w:r>
      <w:r>
        <w:t xml:space="preserve"> </w:t>
      </w:r>
      <w:r>
        <w:t xml:space="preserve">a query, a file path, a subprocess, or a message you emit downstream.</w:t>
      </w:r>
    </w:p>
    <w:p>
      <w:pPr>
        <w:pStyle w:val="Compact"/>
        <w:numPr>
          <w:ilvl w:val="0"/>
          <w:numId w:val="1009"/>
        </w:numPr>
      </w:pPr>
      <w:r>
        <w:rPr>
          <w:b/>
          <w:bCs/>
        </w:rPr>
        <w:t xml:space="preserve">Parameterised queries only.</w:t>
      </w:r>
      <w:r>
        <w:t xml:space="preserve"> </w:t>
      </w:r>
      <w:r>
        <w:t xml:space="preserve">No string-built statements anywhere, no exceptions held open by a</w:t>
      </w:r>
      <w:r>
        <w:t xml:space="preserve"> </w:t>
      </w:r>
      <w:r>
        <w:t xml:space="preserve">comment.</w:t>
      </w:r>
    </w:p>
    <w:p>
      <w:pPr>
        <w:pStyle w:val="Compact"/>
        <w:numPr>
          <w:ilvl w:val="0"/>
          <w:numId w:val="1009"/>
        </w:numPr>
      </w:pPr>
      <w:r>
        <w:rPr>
          <w:b/>
          <w:bCs/>
        </w:rPr>
        <w:t xml:space="preserve">Authentication and authorization enforced on every action, deny by default.</w:t>
      </w:r>
    </w:p>
    <w:p>
      <w:pPr>
        <w:pStyle w:val="Compact"/>
        <w:numPr>
          <w:ilvl w:val="0"/>
          <w:numId w:val="1009"/>
        </w:numPr>
      </w:pPr>
      <w:r>
        <w:rPr>
          <w:b/>
          <w:bCs/>
        </w:rPr>
        <w:t xml:space="preserve">For anything that parses structured documents:</w:t>
      </w:r>
      <w:r>
        <w:t xml:space="preserve"> </w:t>
      </w:r>
      <w:r>
        <w:t xml:space="preserve">disable external-entity resolution and</w:t>
      </w:r>
      <w:r>
        <w:t xml:space="preserve"> </w:t>
      </w:r>
      <w:r>
        <w:t xml:space="preserve">document-type processing, size-limit payloads against a schema, apply that boundary's resource</w:t>
      </w:r>
      <w:r>
        <w:t xml:space="preserve"> </w:t>
      </w:r>
      <w:r>
        <w:t xml:space="preserve">bounds from section 2 rather than a rate limit and timeout invented here, and never return internal</w:t>
      </w:r>
      <w:r>
        <w:t xml:space="preserve"> </w:t>
      </w:r>
      <w:r>
        <w:t xml:space="preserve">detail in a fault response.</w:t>
      </w:r>
    </w:p>
    <w:p>
      <w:pPr>
        <w:pStyle w:val="Compact"/>
        <w:numPr>
          <w:ilvl w:val="0"/>
          <w:numId w:val="1009"/>
        </w:numPr>
      </w:pPr>
      <w:r>
        <w:rPr>
          <w:b/>
          <w:bCs/>
        </w:rPr>
        <w:t xml:space="preserve">For file handling:</w:t>
      </w:r>
      <w:r>
        <w:t xml:space="preserve"> </w:t>
      </w:r>
      <w:r>
        <w:t xml:space="preserve">confine reads and writes to configured directories and canonicalise paths so</w:t>
      </w:r>
      <w:r>
        <w:t xml:space="preserve"> </w:t>
      </w:r>
      <w:r>
        <w:t xml:space="preserve">traversal and symlink escapes are rejected. Validate type and size by content rather than</w:t>
      </w:r>
      <w:r>
        <w:t xml:space="preserve"> </w:t>
      </w:r>
      <w:r>
        <w:t xml:space="preserve">extension. Write atomically then rename so a partial file is never processed. Never place files on</w:t>
      </w:r>
      <w:r>
        <w:t xml:space="preserve"> </w:t>
      </w:r>
      <w:r>
        <w:t xml:space="preserve">an executable or served path, and never execute file contents.</w:t>
      </w:r>
    </w:p>
    <w:p>
      <w:pPr>
        <w:pStyle w:val="Compact"/>
        <w:numPr>
          <w:ilvl w:val="0"/>
          <w:numId w:val="1009"/>
        </w:numPr>
      </w:pPr>
      <w:r>
        <w:rPr>
          <w:b/>
          <w:bCs/>
        </w:rPr>
        <w:t xml:space="preserve">Use vetted cryptographic libraries.</w:t>
      </w:r>
      <w:r>
        <w:t xml:space="preserve"> </w:t>
      </w:r>
      <w:r>
        <w:t xml:space="preserve">Never roll your own.</w:t>
      </w:r>
    </w:p>
    <w:p>
      <w:pPr>
        <w:pStyle w:val="Compact"/>
        <w:numPr>
          <w:ilvl w:val="0"/>
          <w:numId w:val="1009"/>
        </w:numPr>
      </w:pPr>
      <w:r>
        <w:rPr>
          <w:b/>
          <w:bCs/>
        </w:rPr>
        <w:t xml:space="preserve">Fail closed on error.</w:t>
      </w:r>
      <w:r>
        <w:t xml:space="preserve"> </w:t>
      </w:r>
      <w:r>
        <w:t xml:space="preserve">Never log secrets or restricted data, as section 1's table defines it.</w:t>
      </w:r>
    </w:p>
    <w:p>
      <w:pPr>
        <w:pStyle w:val="FirstParagraph"/>
      </w:pPr>
      <w:r>
        <w:t xml:space="preserve">Two more are already owned elsewhere on this site, and are named here only so the enumeration is</w:t>
      </w:r>
      <w:r>
        <w:t xml:space="preserve"> </w:t>
      </w:r>
      <w:r>
        <w:t xml:space="preserve">complete: treating everything an agent reads as data rather than instructions, and verifying a</w:t>
      </w:r>
      <w:r>
        <w:t xml:space="preserve"> </w:t>
      </w:r>
      <w:r>
        <w:t xml:space="preserve">dependency's identity before adding it. Both are covered in</w:t>
      </w:r>
      <w:r>
        <w:t xml:space="preserve"> </w:t>
      </w:r>
      <w:hyperlink r:id="rId26">
        <w:r>
          <w:rPr>
            <w:rStyle w:val="Hyperlink"/>
          </w:rPr>
          <w:t xml:space="preserve">CI and standards</w:t>
        </w:r>
      </w:hyperlink>
      <w:r>
        <w:t xml:space="preserve">.</w:t>
      </w:r>
    </w:p>
    <w:p>
      <w:r>
        <w:pict>
          <v:rect style="width:0;height:1.5pt" o:hralign="center" o:hrstd="t" o:hr="t"/>
        </w:pict>
      </w:r>
    </w:p>
    <w:bookmarkEnd w:id="27"/>
    <w:bookmarkStart w:id="32" w:name="Xd0d2e3c2022a6968f9346992769e0293d735ca2"/>
    <w:p>
      <w:pPr>
        <w:pStyle w:val="Heading2"/>
      </w:pPr>
      <w:r>
        <w:t xml:space="preserve">4. Review, and what to do when there is no second reviewer</w:t>
      </w:r>
    </w:p>
    <w:p>
      <w:pPr>
        <w:pStyle w:val="FirstParagraph"/>
      </w:pPr>
      <w:r>
        <w:t xml:space="preserve">Every change is peer-reviewed, static analysis and dependency analysis run on it, and the review also</w:t>
      </w:r>
      <w:r>
        <w:t xml:space="preserve"> </w:t>
      </w:r>
      <w:r>
        <w:t xml:space="preserve">confirms the change conforms to the acceptance criteria of whatever specified it.</w:t>
      </w:r>
    </w:p>
    <w:p>
      <w:pPr>
        <w:pStyle w:val="BodyText"/>
      </w:pPr>
      <w:r>
        <w:t xml:space="preserve">That is the requirement. Many projects cannot meet it, and the honest response is not to redefine</w:t>
      </w:r>
      <w:r>
        <w:t xml:space="preserve"> </w:t>
      </w:r>
      <w:r>
        <w:t xml:space="preserve">"reviewed" until it fits.</w:t>
      </w:r>
    </w:p>
    <w:bookmarkStart w:id="28" w:name="X201f980f972ea0e4b6566ffddea29bd74691ffd"/>
    <w:p>
      <w:pPr>
        <w:pStyle w:val="Heading3"/>
      </w:pPr>
      <w:r>
        <w:t xml:space="preserve">Self-review is a documented deviation, not a satisfied control</w:t>
      </w:r>
    </w:p>
    <w:p>
      <w:pPr>
        <w:pStyle w:val="FirstParagraph"/>
      </w:pPr>
      <w:r>
        <w:t xml:space="preserve">Record it as a deviation. Name the control that cannot be met. Name the compensating set actually in</w:t>
      </w:r>
      <w:r>
        <w:t xml:space="preserve"> </w:t>
      </w:r>
      <w:r>
        <w:t xml:space="preserve">force -- typically blocking static analysis and dependency audit that cannot be waived, AI-run review</w:t>
      </w:r>
      <w:r>
        <w:t xml:space="preserve"> </w:t>
      </w:r>
      <w:r>
        <w:t xml:space="preserve">that a human arbitrates, branch protection with required checks, and no direct pushes to the trunk.</w:t>
      </w:r>
      <w:r>
        <w:t xml:space="preserve"> </w:t>
      </w:r>
      <w:r>
        <w:t xml:space="preserve">Name the event that ends the deviation, which is usually a second maintainer joining.</w:t>
      </w:r>
    </w:p>
    <w:p>
      <w:pPr>
        <w:pStyle w:val="BodyText"/>
      </w:pPr>
      <w:r>
        <w:t xml:space="preserve">Then constrain the wording. The compensating set is a</w:t>
      </w:r>
      <w:r>
        <w:t xml:space="preserve"> </w:t>
      </w:r>
      <w:r>
        <w:rPr>
          <w:b/>
          <w:bCs/>
        </w:rPr>
        <w:t xml:space="preserve">compensating control, explicitly not an</w:t>
      </w:r>
      <w:r>
        <w:rPr>
          <w:b/>
          <w:bCs/>
        </w:rPr>
        <w:t xml:space="preserve"> </w:t>
      </w:r>
      <w:r>
        <w:rPr>
          <w:b/>
          <w:bCs/>
        </w:rPr>
        <w:t xml:space="preserve">independent audit</w:t>
      </w:r>
      <w:r>
        <w:t xml:space="preserve">, and no published claim may imply otherwise.</w:t>
      </w:r>
    </w:p>
    <w:bookmarkEnd w:id="28"/>
    <w:bookmarkStart w:id="30" w:name="Xd0ccc971424be3bfc158f34270074304d1beac4"/>
    <w:p>
      <w:pPr>
        <w:pStyle w:val="Heading3"/>
      </w:pPr>
      <w:r>
        <w:t xml:space="preserve">The confidence effect bites hardest in self-review</w:t>
      </w:r>
    </w:p>
    <w:p>
      <w:pPr>
        <w:pStyle w:val="FirstParagraph"/>
      </w:pPr>
      <w:r>
        <w:rPr>
          <w:b/>
          <w:bCs/>
        </w:rPr>
        <w:t xml:space="preserve">[external]</w:t>
      </w:r>
      <w:r>
        <w:t xml:space="preserve"> </w:t>
      </w:r>
      <w:r>
        <w:t xml:space="preserve">A controlled study found developers with access to an AI coding assistant wrote less</w:t>
      </w:r>
      <w:r>
        <w:t xml:space="preserve"> </w:t>
      </w:r>
      <w:r>
        <w:t xml:space="preserve">secure code while being more confident it was secure. The study used a 2022-era model, so</w:t>
      </w:r>
      <w:r>
        <w:t xml:space="preserve"> </w:t>
      </w:r>
      <w:r>
        <w:t xml:space="preserve">re-baseline the magnitude rather than quoting it; the direction is what matters here.</w:t>
      </w:r>
    </w:p>
    <w:p>
      <w:pPr>
        <w:pStyle w:val="BodyText"/>
      </w:pPr>
      <w:r>
        <w:t xml:space="preserve">The citation and its hedge live in one place -- the evidence table in</w:t>
      </w:r>
      <w:r>
        <w:t xml:space="preserve"> </w:t>
      </w:r>
      <w:hyperlink r:id="rId29">
        <w:r>
          <w:rPr>
            <w:rStyle w:val="Hyperlink"/>
          </w:rPr>
          <w:t xml:space="preserve">Judging code quality, whoever or whatever wrote it</w:t>
        </w:r>
      </w:hyperlink>
      <w:r>
        <w:t xml:space="preserve">.</w:t>
      </w:r>
    </w:p>
    <w:p>
      <w:pPr>
        <w:pStyle w:val="BodyText"/>
      </w:pPr>
      <w:r>
        <w:t xml:space="preserve">That effect bites hardest exactly in the self-review case, which is the argument for the one control</w:t>
      </w:r>
      <w:r>
        <w:t xml:space="preserve"> </w:t>
      </w:r>
      <w:r>
        <w:t xml:space="preserve">independent of the author's confidence: an adversarial check on whether the tests assert anything.</w:t>
      </w:r>
      <w:r>
        <w:t xml:space="preserve"> </w:t>
      </w:r>
      <w:r>
        <w:t xml:space="preserve">See</w:t>
      </w:r>
      <w:r>
        <w:t xml:space="preserve"> </w:t>
      </w:r>
      <w:r>
        <w:rPr>
          <w:i/>
          <w:iCs/>
        </w:rPr>
        <w:t xml:space="preserve">Judge tests by their assertions, not their presence or their coverage</w:t>
      </w:r>
      <w:r>
        <w:t xml:space="preserve"> </w:t>
      </w:r>
      <w:r>
        <w:t xml:space="preserve">in</w:t>
      </w:r>
      <w:r>
        <w:t xml:space="preserve"> </w:t>
      </w:r>
      <w:hyperlink r:id="rId26">
        <w:r>
          <w:rPr>
            <w:rStyle w:val="Hyperlink"/>
          </w:rPr>
          <w:t xml:space="preserve">CI and standards</w:t>
        </w:r>
      </w:hyperlink>
      <w:r>
        <w:t xml:space="preserve">.</w:t>
      </w:r>
    </w:p>
    <w:bookmarkEnd w:id="30"/>
    <w:bookmarkStart w:id="31" w:name="X8df9a15527c9258113a544c92aa72dbd7dd03b7"/>
    <w:p>
      <w:pPr>
        <w:pStyle w:val="Heading3"/>
      </w:pPr>
      <w:r>
        <w:t xml:space="preserve">The comprehension bar, and two additions to it</w:t>
      </w:r>
    </w:p>
    <w:p>
      <w:pPr>
        <w:pStyle w:val="FirstParagraph"/>
      </w:pPr>
      <w:r>
        <w:t xml:space="preserve">The comprehension bar that goes with review -- reject code you cannot explain, with assistance in</w:t>
      </w:r>
      <w:r>
        <w:t xml:space="preserve"> </w:t>
      </w:r>
      <w:r>
        <w:t xml:space="preserve">reaching the explanation being acceptable -- is settled on this site under that name in the same</w:t>
      </w:r>
      <w:r>
        <w:t xml:space="preserve"> </w:t>
      </w:r>
      <w:r>
        <w:t xml:space="preserve">document.</w:t>
      </w:r>
    </w:p>
    <w:p>
      <w:pPr>
        <w:pStyle w:val="BodyText"/>
      </w:pPr>
      <w:r>
        <w:t xml:space="preserve">Two small additions are worth carrying. An AI coding assistant's explanation can be confidently</w:t>
      </w:r>
      <w:r>
        <w:t xml:space="preserve"> </w:t>
      </w:r>
      <w:r>
        <w:t xml:space="preserve">wrong in the same way its code can, so the human verifies the explanation rather than accepting it.</w:t>
      </w:r>
      <w:r>
        <w:t xml:space="preserve"> </w:t>
      </w:r>
      <w:r>
        <w:t xml:space="preserve">A periodic cold spot-check of an already-merged assisted change is a cheap way to detect that</w:t>
      </w:r>
      <w:r>
        <w:t xml:space="preserve"> </w:t>
      </w:r>
      <w:r>
        <w:t xml:space="preserve">explaining has drifted into rubber-stamping.</w:t>
      </w:r>
    </w:p>
    <w:p>
      <w:r>
        <w:pict>
          <v:rect style="width:0;height:1.5pt" o:hralign="center" o:hrstd="t" o:hr="t"/>
        </w:pict>
      </w:r>
    </w:p>
    <w:bookmarkEnd w:id="31"/>
    <w:bookmarkEnd w:id="32"/>
    <w:bookmarkStart w:id="38" w:name="Xa04daca1c49463ed52ff2475309af2fe8799704"/>
    <w:p>
      <w:pPr>
        <w:pStyle w:val="Heading2"/>
      </w:pPr>
      <w:r>
        <w:t xml:space="preserve">5. Scanner posture: what blocks, what advises, what may never be waived</w:t>
      </w:r>
    </w:p>
    <w:p>
      <w:pPr>
        <w:pStyle w:val="FirstParagraph"/>
      </w:pPr>
      <w:r>
        <w:rPr>
          <w:b/>
          <w:bCs/>
        </w:rPr>
        <w:t xml:space="preserve">Coverage is the set of blocking checks that run on a change, not the tool inventory.</w:t>
      </w:r>
      <w:r>
        <w:t xml:space="preserve"> </w:t>
      </w:r>
      <w:r>
        <w:t xml:space="preserve">Advisory and</w:t>
      </w:r>
      <w:r>
        <w:t xml:space="preserve"> </w:t>
      </w:r>
      <w:r>
        <w:t xml:space="preserve">scheduled-only jobs are useful and are not coverage. Classify every nominally-security job as one or</w:t>
      </w:r>
      <w:r>
        <w:t xml:space="preserve"> </w:t>
      </w:r>
      <w:r>
        <w:t xml:space="preserve">the other and write the classification down, because the two are indistinguishable from a green</w:t>
      </w:r>
      <w:r>
        <w:t xml:space="preserve"> </w:t>
      </w:r>
      <w:r>
        <w:t xml:space="preserve">badge.</w:t>
      </w:r>
    </w:p>
    <w:bookmarkStart w:id="34" w:name="what-must-block-and-may-not-be-waived"/>
    <w:p>
      <w:pPr>
        <w:pStyle w:val="Heading3"/>
      </w:pPr>
      <w:r>
        <w:t xml:space="preserve">What must block, and may not be waived</w:t>
      </w:r>
    </w:p>
    <w:p>
      <w:pPr>
        <w:pStyle w:val="FirstParagraph"/>
      </w:pPr>
      <w:r>
        <w:t xml:space="preserve">The following must block a change, and may not be waived by an author:</w:t>
      </w:r>
    </w:p>
    <w:p>
      <w:pPr>
        <w:pStyle w:val="Compact"/>
        <w:numPr>
          <w:ilvl w:val="0"/>
          <w:numId w:val="1010"/>
        </w:numPr>
      </w:pPr>
      <w:r>
        <w:t xml:space="preserve">Static analysis, red on any new finding from a clean baseline.</w:t>
      </w:r>
    </w:p>
    <w:p>
      <w:pPr>
        <w:pStyle w:val="Compact"/>
        <w:numPr>
          <w:ilvl w:val="0"/>
          <w:numId w:val="1010"/>
        </w:numPr>
      </w:pPr>
      <w:r>
        <w:t xml:space="preserve">Dependency vulnerability analysis, red on any new advisory.</w:t>
      </w:r>
    </w:p>
    <w:p>
      <w:pPr>
        <w:pStyle w:val="Compact"/>
        <w:numPr>
          <w:ilvl w:val="0"/>
          <w:numId w:val="1010"/>
        </w:numPr>
      </w:pPr>
      <w:r>
        <w:t xml:space="preserve">Secret scanning, over the full history, not only the diff.</w:t>
      </w:r>
    </w:p>
    <w:p>
      <w:pPr>
        <w:pStyle w:val="FirstParagraph"/>
      </w:pPr>
      <w:r>
        <w:t xml:space="preserve">Mechanics for all three are already published.</w:t>
      </w:r>
      <w:r>
        <w:t xml:space="preserve"> </w:t>
      </w:r>
      <w:hyperlink r:id="rId26">
        <w:r>
          <w:rPr>
            <w:rStyle w:val="Hyperlink"/>
          </w:rPr>
          <w:t xml:space="preserve">CI and standards</w:t>
        </w:r>
      </w:hyperlink>
      <w:r>
        <w:t xml:space="preserve"> </w:t>
      </w:r>
      <w:r>
        <w:t xml:space="preserve">covers</w:t>
      </w:r>
      <w:r>
        <w:t xml:space="preserve"> </w:t>
      </w:r>
      <w:r>
        <w:t xml:space="preserve">grandfathering to a clean baseline and then ratcheting, and running supply-chain audits on a schedule</w:t>
      </w:r>
      <w:r>
        <w:t xml:space="preserve"> </w:t>
      </w:r>
      <w:r>
        <w:t xml:space="preserve">as well as on changes. It also covers the two-layer shape where a local hook gives fast feedback and</w:t>
      </w:r>
      <w:r>
        <w:t xml:space="preserve"> </w:t>
      </w:r>
      <w:r>
        <w:t xml:space="preserve">the pipeline is the authoritative gate.</w:t>
      </w:r>
    </w:p>
    <w:p>
      <w:pPr>
        <w:pStyle w:val="BodyText"/>
      </w:pPr>
      <w:r>
        <w:t xml:space="preserve">Fail-closed forbidden-content scanning and the three ways a scanner lies are in</w:t>
      </w:r>
      <w:r>
        <w:t xml:space="preserve"> </w:t>
      </w:r>
      <w:hyperlink r:id="rId33">
        <w:r>
          <w:rPr>
            <w:rStyle w:val="Hyperlink"/>
          </w:rPr>
          <w:t xml:space="preserve">the leak gate</w:t>
        </w:r>
      </w:hyperlink>
      <w:r>
        <w:t xml:space="preserve">.</w:t>
      </w:r>
    </w:p>
    <w:p>
      <w:pPr>
        <w:pStyle w:val="BodyText"/>
      </w:pPr>
      <w:r>
        <w:t xml:space="preserve">The scheduled malformed-input harness described in section 2 is classified here, explicitly, as</w:t>
      </w:r>
      <w:r>
        <w:t xml:space="preserve"> </w:t>
      </w:r>
      <w:r>
        <w:rPr>
          <w:b/>
          <w:bCs/>
        </w:rPr>
        <w:t xml:space="preserve">advisory</w:t>
      </w:r>
      <w:r>
        <w:t xml:space="preserve">. It is a real control and it is not coverage, and both halves of that have to be written</w:t>
      </w:r>
      <w:r>
        <w:t xml:space="preserve"> </w:t>
      </w:r>
      <w:r>
        <w:t xml:space="preserve">down, or the tool inventory grows while the blocking set stands still.</w:t>
      </w:r>
    </w:p>
    <w:bookmarkEnd w:id="34"/>
    <w:bookmarkStart w:id="35" w:name="X528d297cbcf16dcf6f2bd452949bcc76bc0bc37"/>
    <w:p>
      <w:pPr>
        <w:pStyle w:val="Heading3"/>
      </w:pPr>
      <w:r>
        <w:t xml:space="preserve">Dynamic testing: an event trigger, and a written record of what no trigger reached</w:t>
      </w:r>
    </w:p>
    <w:p>
      <w:pPr>
        <w:pStyle w:val="FirstParagraph"/>
      </w:pPr>
      <w:r>
        <w:t xml:space="preserve">The blocking set above is entirely static. Three checks that read code, manifests and history without</w:t>
      </w:r>
      <w:r>
        <w:t xml:space="preserve"> </w:t>
      </w:r>
      <w:r>
        <w:t xml:space="preserve">executing anything. Section 2's malformed-input harness is the only control this document states that</w:t>
      </w:r>
      <w:r>
        <w:t xml:space="preserve"> </w:t>
      </w:r>
      <w:r>
        <w:t xml:space="preserve">runs the built code against input it did not expect, and a scheduled job with no stated trigger drifts</w:t>
      </w:r>
      <w:r>
        <w:t xml:space="preserve"> </w:t>
      </w:r>
      <w:r>
        <w:t xml:space="preserve">into being a green light nobody asked a question of. Give it a policy, in three parts.</w:t>
      </w:r>
    </w:p>
    <w:p>
      <w:pPr>
        <w:pStyle w:val="BodyText"/>
      </w:pPr>
      <w:r>
        <w:rPr>
          <w:b/>
          <w:bCs/>
        </w:rPr>
        <w:t xml:space="preserve">Trigger a dynamic pass on an event, and name the events.</w:t>
      </w:r>
      <w:r>
        <w:t xml:space="preserve"> </w:t>
      </w:r>
      <w:r>
        <w:t xml:space="preserve">At least these, and each is answerable</w:t>
      </w:r>
      <w:r>
        <w:t xml:space="preserve"> </w:t>
      </w:r>
      <w:r>
        <w:t xml:space="preserve">from a diff rather than from a judgment:</w:t>
      </w:r>
    </w:p>
    <w:p>
      <w:pPr>
        <w:pStyle w:val="Compact"/>
        <w:numPr>
          <w:ilvl w:val="0"/>
          <w:numId w:val="1011"/>
        </w:numPr>
      </w:pPr>
      <w:r>
        <w:t xml:space="preserve">A boundary is added to section 2's list, or the parser, decoder or deserializer behind an existing</w:t>
      </w:r>
      <w:r>
        <w:t xml:space="preserve"> </w:t>
      </w:r>
      <w:r>
        <w:t xml:space="preserve">one is replaced.</w:t>
      </w:r>
    </w:p>
    <w:p>
      <w:pPr>
        <w:pStyle w:val="Compact"/>
        <w:numPr>
          <w:ilvl w:val="0"/>
          <w:numId w:val="1011"/>
        </w:numPr>
      </w:pPr>
      <w:r>
        <w:t xml:space="preserve">A dependency that does the parsing or decoding at a boundary crosses a major version.</w:t>
      </w:r>
    </w:p>
    <w:p>
      <w:pPr>
        <w:pStyle w:val="Compact"/>
        <w:numPr>
          <w:ilvl w:val="0"/>
          <w:numId w:val="1011"/>
        </w:numPr>
      </w:pPr>
      <w:r>
        <w:t xml:space="preserve">A finding of this class arrives from any source -- an advisory, a report, a crash in the field. The</w:t>
      </w:r>
      <w:r>
        <w:t xml:space="preserve"> </w:t>
      </w:r>
      <w:r>
        <w:t xml:space="preserve">confirming run is section 12's, and it has to mirror the original.</w:t>
      </w:r>
    </w:p>
    <w:p>
      <w:pPr>
        <w:pStyle w:val="Compact"/>
        <w:numPr>
          <w:ilvl w:val="0"/>
          <w:numId w:val="1011"/>
        </w:numPr>
      </w:pPr>
      <w:r>
        <w:t xml:space="preserve">A release changes the ingress surface.</w:t>
      </w:r>
    </w:p>
    <w:p>
      <w:pPr>
        <w:pStyle w:val="FirstParagraph"/>
      </w:pPr>
      <w:r>
        <w:t xml:space="preserve">The schedule section 2 already sets stays where it is, and it is doing a different job: a fuzzer finds</w:t>
      </w:r>
      <w:r>
        <w:t xml:space="preserve"> </w:t>
      </w:r>
      <w:r>
        <w:t xml:space="preserve">more with more machine time, so the scheduled run is how the corpus accumulates. The triggers are what</w:t>
      </w:r>
      <w:r>
        <w:t xml:space="preserve"> </w:t>
      </w:r>
      <w:r>
        <w:t xml:space="preserve">make the pass answer a question. Neither replaces the other, and a project running only the schedule</w:t>
      </w:r>
      <w:r>
        <w:t xml:space="preserve"> </w:t>
      </w:r>
      <w:r>
        <w:t xml:space="preserve">has a control that cannot respond to anything.</w:t>
      </w:r>
    </w:p>
    <w:p>
      <w:pPr>
        <w:pStyle w:val="BodyText"/>
      </w:pPr>
      <w:r>
        <w:rPr>
          <w:b/>
          <w:bCs/>
        </w:rPr>
        <w:t xml:space="preserve">This is not a fifth item for section 14.</w:t>
      </w:r>
      <w:r>
        <w:t xml:space="preserve"> </w:t>
      </w:r>
      <w:r>
        <w:t xml:space="preserve">That pass is capped at four for the reason section 14</w:t>
      </w:r>
      <w:r>
        <w:t xml:space="preserve"> </w:t>
      </w:r>
      <w:r>
        <w:t xml:space="preserve">states, and these are events with a diff behind them rather than calendar entries -- which is that</w:t>
      </w:r>
      <w:r>
        <w:t xml:space="preserve"> </w:t>
      </w:r>
      <w:r>
        <w:t xml:space="preserve">section's own stated preference. Nothing here adds a row to the release gate in section 16 either. The</w:t>
      </w:r>
      <w:r>
        <w:t xml:space="preserve"> </w:t>
      </w:r>
      <w:r>
        <w:t xml:space="preserve">record required below is a field in an entry that pass already writes, not a fifth thing for it to</w:t>
      </w:r>
      <w:r>
        <w:t xml:space="preserve"> </w:t>
      </w:r>
      <w:r>
        <w:t xml:space="preserve">check, and the four-item cap holds.</w:t>
      </w:r>
    </w:p>
    <w:p>
      <w:pPr>
        <w:pStyle w:val="BodyText"/>
      </w:pPr>
      <w:r>
        <w:rPr>
          <w:b/>
          <w:bCs/>
        </w:rPr>
        <w:t xml:space="preserve">Write down what no trigger reached, in the record somebody already writes.</w:t>
      </w:r>
      <w:r>
        <w:t xml:space="preserve"> </w:t>
      </w:r>
      <w:r>
        <w:t xml:space="preserve">Section 14's periodic</w:t>
      </w:r>
      <w:r>
        <w:t xml:space="preserve"> </w:t>
      </w:r>
      <w:r>
        <w:t xml:space="preserve">pass produces a dated entry recording what was checked and what changed; dynamic testing is a line in</w:t>
      </w:r>
      <w:r>
        <w:t xml:space="preserve"> </w:t>
      </w:r>
      <w:r>
        <w:t xml:space="preserve">that entry. Where no trigger has fired since the last pass, the line says dynamic testing did not run</w:t>
      </w:r>
      <w:r>
        <w:t xml:space="preserve"> </w:t>
      </w:r>
      <w:r>
        <w:t xml:space="preserve">and carries that pass's date, rather than inheriting the last green run. That places the honesty</w:t>
      </w:r>
      <w:r>
        <w:t xml:space="preserve"> </w:t>
      </w:r>
      <w:r>
        <w:t xml:space="preserve">control on an existing artifact with an existing owner and cadence, which is the only way a record of</w:t>
      </w:r>
      <w:r>
        <w:t xml:space="preserve"> </w:t>
      </w:r>
      <w:r>
        <w:t xml:space="preserve">a non-run ever gets written. Where a pass did run, record its reach and not only its result: the</w:t>
      </w:r>
      <w:r>
        <w:t xml:space="preserve"> </w:t>
      </w:r>
      <w:r>
        <w:t xml:space="preserve">harness gets at parser, decoder and</w:t>
      </w:r>
      <w:r>
        <w:t xml:space="preserve"> </w:t>
      </w:r>
      <w:r>
        <w:t xml:space="preserve">boundary surfaces, and does not get at authorization decisions, business logic, multi-step flows, or</w:t>
      </w:r>
      <w:r>
        <w:t xml:space="preserve"> </w:t>
      </w:r>
      <w:r>
        <w:t xml:space="preserve">state held across requests. Those are surfaces an external engagement reaches and this does not, which</w:t>
      </w:r>
      <w:r>
        <w:t xml:space="preserve"> </w:t>
      </w:r>
      <w:r>
        <w:t xml:space="preserve">is section 15's gap and stays open however green this is.</w:t>
      </w:r>
    </w:p>
    <w:p>
      <w:pPr>
        <w:pStyle w:val="BodyText"/>
      </w:pPr>
      <w:r>
        <w:t xml:space="preserve">The honest limit is the one section 2 already carries, and it is the one that decides whether any of</w:t>
      </w:r>
      <w:r>
        <w:t xml:space="preserve"> </w:t>
      </w:r>
      <w:r>
        <w:t xml:space="preserve">this meant anything: a harness that never gets past the first parse call is the dynamic-testing</w:t>
      </w:r>
      <w:r>
        <w:t xml:space="preserve"> </w:t>
      </w:r>
      <w:r>
        <w:t xml:space="preserve">equivalent of a clean run on a weak ruleset. The coverage question is what the corpus reached, never</w:t>
      </w:r>
      <w:r>
        <w:t xml:space="preserve"> </w:t>
      </w:r>
      <w:r>
        <w:t xml:space="preserve">how long it ran.</w:t>
      </w:r>
    </w:p>
    <w:p>
      <w:pPr>
        <w:pStyle w:val="BodyText"/>
      </w:pPr>
      <w:r>
        <w:t xml:space="preserve">Two things stated plainly, in this document's usual style. Nothing above blocks -- this section's</w:t>
      </w:r>
      <w:r>
        <w:t xml:space="preserve"> </w:t>
      </w:r>
      <w:r>
        <w:t xml:space="preserve">classification of the harness as advisory does not change, and a trigger firing produces a pass and a</w:t>
      </w:r>
      <w:r>
        <w:t xml:space="preserve"> </w:t>
      </w:r>
      <w:r>
        <w:t xml:space="preserve">record, not a red change. And nothing here is borrowed at the technique level: SP 800-115 is the</w:t>
      </w:r>
      <w:r>
        <w:t xml:space="preserve"> </w:t>
      </w:r>
      <w:r>
        <w:t xml:space="preserve">publication whose subject this is, it is cited on this page for its process material only, and its</w:t>
      </w:r>
      <w:r>
        <w:t xml:space="preserve"> </w:t>
      </w:r>
      <w:r>
        <w:t xml:space="preserve">technique and tooling inventory has a row in the coverage table saying so -- which is why the trigger</w:t>
      </w:r>
      <w:r>
        <w:t xml:space="preserve"> </w:t>
      </w:r>
      <w:r>
        <w:t xml:space="preserve">list and the reach statement are unmarked and this document's own.</w:t>
      </w:r>
    </w:p>
    <w:p>
      <w:pPr>
        <w:pStyle w:val="BodyText"/>
      </w:pPr>
      <w:r>
        <w:t xml:space="preserve">Normative force: a triggered pass and a dated record, recommended. Nothing here blocks, the harness</w:t>
      </w:r>
      <w:r>
        <w:t xml:space="preserve"> </w:t>
      </w:r>
      <w:r>
        <w:t xml:space="preserve">stays advisory, and no release condition changes.</w:t>
      </w:r>
    </w:p>
    <w:bookmarkEnd w:id="35"/>
    <w:bookmarkStart w:id="36" w:name="X8e84579fd545af19ab8cb79c93491972da372eb"/>
    <w:p>
      <w:pPr>
        <w:pStyle w:val="Heading3"/>
      </w:pPr>
      <w:r>
        <w:t xml:space="preserve">Three additions specific to a security posture</w:t>
      </w:r>
    </w:p>
    <w:p>
      <w:pPr>
        <w:pStyle w:val="FirstParagraph"/>
      </w:pPr>
      <w:r>
        <w:rPr>
          <w:b/>
          <w:bCs/>
        </w:rPr>
        <w:t xml:space="preserve">A clean run is a start condition, not a certificate.</w:t>
      </w:r>
      <w:r>
        <w:t xml:space="preserve"> </w:t>
      </w:r>
      <w:r>
        <w:t xml:space="preserve">Zero findings on a weak ruleset proves</w:t>
      </w:r>
      <w:r>
        <w:t xml:space="preserve"> </w:t>
      </w:r>
      <w:r>
        <w:t xml:space="preserve">nothing at all. What the clean baseline buys you is the ability to enforce red-on-regression; that is</w:t>
      </w:r>
      <w:r>
        <w:t xml:space="preserve"> </w:t>
      </w:r>
      <w:r>
        <w:t xml:space="preserve">the whole of its value.</w:t>
      </w:r>
    </w:p>
    <w:p>
      <w:pPr>
        <w:pStyle w:val="BodyText"/>
      </w:pPr>
      <w:r>
        <w:rPr>
          <w:b/>
          <w:bCs/>
        </w:rPr>
        <w:t xml:space="preserve">Confirm the gate can see the class it exists to catch.</w:t>
      </w:r>
      <w:r>
        <w:t xml:space="preserve"> </w:t>
      </w:r>
      <w:r>
        <w:t xml:space="preserve">A green gate is evidence only once you</w:t>
      </w:r>
      <w:r>
        <w:t xml:space="preserve"> </w:t>
      </w:r>
      <w:r>
        <w:t xml:space="preserve">have fired the failure class at it and watched it go red. This is stated in full under</w:t>
      </w:r>
      <w:r>
        <w:t xml:space="preserve"> </w:t>
      </w:r>
      <w:r>
        <w:rPr>
          <w:i/>
          <w:iCs/>
        </w:rPr>
        <w:t xml:space="preserve">Attack the</w:t>
      </w:r>
      <w:r>
        <w:rPr>
          <w:i/>
          <w:iCs/>
        </w:rPr>
        <w:t xml:space="preserve"> </w:t>
      </w:r>
      <w:r>
        <w:rPr>
          <w:i/>
          <w:iCs/>
        </w:rPr>
        <w:t xml:space="preserve">control with the failure class it was built to catch</w:t>
      </w:r>
      <w:r>
        <w:t xml:space="preserve"> </w:t>
      </w:r>
      <w:r>
        <w:t xml:space="preserve">in</w:t>
      </w:r>
      <w:r>
        <w:t xml:space="preserve"> </w:t>
      </w:r>
      <w:hyperlink r:id="rId26">
        <w:r>
          <w:rPr>
            <w:rStyle w:val="Hyperlink"/>
          </w:rPr>
          <w:t xml:space="preserve">CI and standards</w:t>
        </w:r>
      </w:hyperlink>
      <w:r>
        <w:t xml:space="preserve">, and it applies to every check in this section.</w:t>
      </w:r>
    </w:p>
    <w:p>
      <w:pPr>
        <w:pStyle w:val="BodyText"/>
      </w:pPr>
      <w:r>
        <w:t xml:space="preserve">The per-finding form of the same discipline -- a finding is closed by its own check going green on the</w:t>
      </w:r>
      <w:r>
        <w:t xml:space="preserve"> </w:t>
      </w:r>
      <w:r>
        <w:t xml:space="preserve">commit carrying the fix, never by the fix merging -- is in section 12. It is one rule read at two</w:t>
      </w:r>
      <w:r>
        <w:t xml:space="preserve"> </w:t>
      </w:r>
      <w:r>
        <w:t xml:space="preserve">scales, not two rules.</w:t>
      </w:r>
    </w:p>
    <w:p>
      <w:pPr>
        <w:pStyle w:val="BodyText"/>
      </w:pPr>
      <w:r>
        <w:rPr>
          <w:b/>
          <w:bCs/>
        </w:rPr>
        <w:t xml:space="preserve">Enumerate the sibling paths.</w:t>
      </w:r>
      <w:r>
        <w:t xml:space="preserve"> </w:t>
      </w:r>
      <w:r>
        <w:t xml:space="preserve">A control implemented exactly where it was prompted, and missing on</w:t>
      </w:r>
      <w:r>
        <w:t xml:space="preserve"> </w:t>
      </w:r>
      <w:r>
        <w:t xml:space="preserve">its siblings, is the single most common residual after an agent-run security sweep. Encode the</w:t>
      </w:r>
      <w:r>
        <w:t xml:space="preserve"> </w:t>
      </w:r>
      <w:r>
        <w:t xml:space="preserve">control as one deterministic check shared across every path rather than as a habit applied per path.</w:t>
      </w:r>
    </w:p>
    <w:p>
      <w:pPr>
        <w:pStyle w:val="BodyText"/>
      </w:pPr>
      <w:r>
        <w:rPr>
          <w:b/>
          <w:bCs/>
        </w:rPr>
        <w:t xml:space="preserve">Record rigor and scope as two separate values for each blocking check, never as one.</w:t>
      </w:r>
      <w:r>
        <w:t xml:space="preserve"> </w:t>
      </w:r>
      <w:r>
        <w:t xml:space="preserve">A check that</w:t>
      </w:r>
      <w:r>
        <w:t xml:space="preserve"> </w:t>
      </w:r>
      <w:r>
        <w:t xml:space="preserve">ran on one path at high rigor and a check that ran on every path at low rigor both report green, and</w:t>
      </w:r>
      <w:r>
        <w:t xml:space="preserve"> </w:t>
      </w:r>
      <w:r>
        <w:t xml:space="preserve">no tool will tell you which of the two you have. Against each check in the blocking list, note how</w:t>
      </w:r>
      <w:r>
        <w:t xml:space="preserve"> </w:t>
      </w:r>
      <w:r>
        <w:t xml:space="preserve">deep it looks -- a pattern match, a taint analysis, an executed test -- and how much of the surface it</w:t>
      </w:r>
      <w:r>
        <w:t xml:space="preserve"> </w:t>
      </w:r>
      <w:r>
        <w:t xml:space="preserve">covers: this module, every sibling, the whole tree.</w:t>
      </w:r>
    </w:p>
    <w:p>
      <w:pPr>
        <w:pStyle w:val="BodyText"/>
      </w:pPr>
      <w:r>
        <w:t xml:space="preserve">Two words per row, filled in once when the check is added, and it is the fastest way to notice that</w:t>
      </w:r>
      <w:r>
        <w:t xml:space="preserve"> </w:t>
      </w:r>
      <w:r>
        <w:t xml:space="preserve">the most rigorous check in the suite runs on one directory. The sibling rule above is the scope half</w:t>
      </w:r>
      <w:r>
        <w:t xml:space="preserve"> </w:t>
      </w:r>
      <w:r>
        <w:t xml:space="preserve">already stated on its own; this pairs it with the depth half, so neither can quietly stand in for the</w:t>
      </w:r>
      <w:r>
        <w:t xml:space="preserve"> </w:t>
      </w:r>
      <w:r>
        <w:t xml:space="preserve">other. It records what you have rather than requiring anything new, so it adds no blocking condition.</w:t>
      </w:r>
    </w:p>
    <w:bookmarkEnd w:id="36"/>
    <w:bookmarkStart w:id="37" w:name="the-security-anti-metrics"/>
    <w:p>
      <w:pPr>
        <w:pStyle w:val="Heading3"/>
      </w:pPr>
      <w:r>
        <w:t xml:space="preserve">The security anti-metrics</w:t>
      </w:r>
    </w:p>
    <w:p>
      <w:pPr>
        <w:pStyle w:val="FirstParagraph"/>
      </w:pPr>
      <w:r>
        <w:t xml:space="preserve">The site already forbids gating on a single gameable number, with the general metric evidence. These</w:t>
      </w:r>
      <w:r>
        <w:t xml:space="preserve"> </w:t>
      </w:r>
      <w:r>
        <w:t xml:space="preserve">are the security-specific badges that impersonate a verdict. Each may be surfaced as advisory</w:t>
      </w:r>
      <w:r>
        <w:t xml:space="preserve"> </w:t>
      </w:r>
      <w:r>
        <w:t xml:space="preserve">context. None may ever be the pass or fail decision.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Badge</w:t>
            </w:r>
          </w:p>
        </w:tc>
        <w:tc>
          <w:tcPr/>
          <w:p>
            <w:pPr>
              <w:pStyle w:val="Compact"/>
            </w:pPr>
            <w:r>
              <w:t xml:space="preserve">Why it is not a verdict</w:t>
            </w:r>
          </w:p>
        </w:tc>
      </w:tr>
      <w:tr>
        <w:tc>
          <w:tcPr/>
          <w:p>
            <w:pPr>
              <w:pStyle w:val="Compact"/>
            </w:pPr>
            <w:r>
              <w:t xml:space="preserve">Number of security scanners</w:t>
            </w:r>
          </w:p>
        </w:tc>
        <w:tc>
          <w:tcPr/>
          <w:p>
            <w:pPr>
              <w:pStyle w:val="Compact"/>
            </w:pPr>
            <w:r>
              <w:t xml:space="preserve">A tool count. Advisory and scheduled-only jobs never redden a change</w:t>
            </w:r>
          </w:p>
        </w:tc>
      </w:tr>
      <w:tr>
        <w:tc>
          <w:tcPr/>
          <w:p>
            <w:pPr>
              <w:pStyle w:val="Compact"/>
            </w:pPr>
            <w:r>
              <w:t xml:space="preserve">Finding count reaching zero</w:t>
            </w:r>
          </w:p>
        </w:tc>
        <w:tc>
          <w:tcPr/>
          <w:p>
            <w:pPr>
              <w:pStyle w:val="Compact"/>
            </w:pPr>
            <w:r>
              <w:t xml:space="preserve">A start condition for red-on-regression. Zero on a weak ruleset proves nothing</w:t>
            </w:r>
          </w:p>
        </w:tc>
      </w:tr>
      <w:tr>
        <w:tc>
          <w:tcPr/>
          <w:p>
            <w:pPr>
              <w:pStyle w:val="Compact"/>
            </w:pPr>
            <w:r>
              <w:t xml:space="preserve">Fuzzing hours, or corpus size</w:t>
            </w:r>
          </w:p>
        </w:tc>
        <w:tc>
          <w:tcPr/>
          <w:p>
            <w:pPr>
              <w:pStyle w:val="Compact"/>
            </w:pPr>
            <w:r>
              <w:t xml:space="preserve">Machine time and a file count. Neither says which surfaces the corpus reached</w:t>
            </w:r>
          </w:p>
        </w:tc>
      </w:tr>
      <w:tr>
        <w:tc>
          <w:tcPr/>
          <w:p>
            <w:pPr>
              <w:pStyle w:val="Compact"/>
            </w:pPr>
            <w:r>
              <w:t xml:space="preserve">A single percentage-pass headline from an assessment</w:t>
            </w:r>
          </w:p>
        </w:tc>
        <w:tc>
          <w:tcPr/>
          <w:p>
            <w:pPr>
              <w:pStyle w:val="Compact"/>
            </w:pPr>
            <w:r>
              <w:t xml:space="preserve">Hides the composite, and moves when the standard revises its denominator</w:t>
            </w:r>
          </w:p>
        </w:tc>
      </w:tr>
      <w:tr>
        <w:tc>
          <w:tcPr/>
          <w:p>
            <w:pPr>
              <w:pStyle w:val="Compact"/>
            </w:pPr>
            <w:r>
              <w:t xml:space="preserve">"Certified" phrasing against any framework</w:t>
            </w:r>
          </w:p>
        </w:tc>
        <w:tc>
          <w:tcPr/>
          <w:p>
            <w:pPr>
              <w:pStyle w:val="Compact"/>
            </w:pPr>
            <w:r>
              <w:t xml:space="preserve">Describes a certificate that does not exist</w:t>
            </w:r>
          </w:p>
        </w:tc>
      </w:tr>
      <w:tr>
        <w:tc>
          <w:tcPr/>
          <w:p>
            <w:pPr>
              <w:pStyle w:val="Compact"/>
            </w:pPr>
            <w:r>
              <w:t xml:space="preserve">Count of controls marked "built"</w:t>
            </w:r>
          </w:p>
        </w:tc>
        <w:tc>
          <w:tcPr/>
          <w:p>
            <w:pPr>
              <w:pStyle w:val="Compact"/>
            </w:pPr>
            <w:r>
              <w:t xml:space="preserve">Built is not on-by-default is not fail-closed is not independently verified</w:t>
            </w:r>
          </w:p>
        </w:tc>
      </w:tr>
      <w:tr>
        <w:tc>
          <w:tcPr/>
          <w:p>
            <w:pPr>
              <w:pStyle w:val="Compact"/>
            </w:pPr>
            <w:r>
              <w:t xml:space="preserve">A green pipeline, or a passing self-assessment</w:t>
            </w:r>
          </w:p>
        </w:tc>
        <w:tc>
          <w:tcPr/>
          <w:p>
            <w:pPr>
              <w:pStyle w:val="Compact"/>
            </w:pPr>
            <w:r>
              <w:t xml:space="preserve">One input. No self-run gate substitutes for an outside challenge</w:t>
            </w:r>
          </w:p>
        </w:tc>
      </w:tr>
      <w:tr>
        <w:tc>
          <w:tcPr/>
          <w:p>
            <w:pPr>
              <w:pStyle w:val="Compact"/>
            </w:pPr>
            <w:r>
              <w:t xml:space="preserve">"A risk register exists"</w:t>
            </w:r>
          </w:p>
        </w:tc>
        <w:tc>
          <w:tcPr/>
          <w:p>
            <w:pPr>
              <w:pStyle w:val="Compact"/>
            </w:pPr>
            <w:r>
              <w:t xml:space="preserve">An unsigned acceptance is an un-accepted open gap wearing the costume of a decision</w:t>
            </w:r>
          </w:p>
        </w:tc>
      </w:tr>
      <w:tr>
        <w:tc>
          <w:tcPr/>
          <w:p>
            <w:pPr>
              <w:pStyle w:val="Compact"/>
            </w:pPr>
            <w:r>
              <w:t xml:space="preserve">Count of externally-catalogued control identifiers cited</w:t>
            </w:r>
          </w:p>
        </w:tc>
        <w:tc>
          <w:tcPr/>
          <w:p>
            <w:pPr>
              <w:pStyle w:val="Compact"/>
            </w:pPr>
            <w:r>
              <w:t xml:space="preserve">A citation records where a rule came from. It is not coverage, and counting citations scores nothing</w:t>
            </w:r>
          </w:p>
        </w:tc>
      </w:tr>
    </w:tbl>
    <w:p>
      <w:pPr>
        <w:pStyle w:val="BodyText"/>
      </w:pPr>
      <w:r>
        <w:rPr>
          <w:b/>
          <w:bCs/>
        </w:rPr>
        <w:t xml:space="preserve">There is no validated threshold at which a build becomes secure.</w:t>
      </w:r>
      <w:r>
        <w:t xml:space="preserve"> </w:t>
      </w:r>
      <w:r>
        <w:t xml:space="preserve">No framework supplies one --</w:t>
      </w:r>
      <w:r>
        <w:t xml:space="preserve"> </w:t>
      </w:r>
      <w:r>
        <w:t xml:space="preserve">not a blocking-check count, not a pass rate, not a remediation-time floor. Any number you adopt is</w:t>
      </w:r>
      <w:r>
        <w:t xml:space="preserve"> </w:t>
      </w:r>
      <w:r>
        <w:t xml:space="preserve">project-set and directional. Label it that way, and review it as your own data accumulates.</w:t>
      </w:r>
    </w:p>
    <w:p>
      <w:r>
        <w:pict>
          <v:rect style="width:0;height:1.5pt" o:hralign="center" o:hrstd="t" o:hr="t"/>
        </w:pict>
      </w:r>
    </w:p>
    <w:bookmarkEnd w:id="37"/>
    <w:bookmarkEnd w:id="38"/>
    <w:bookmarkStart w:id="39" w:name="X008abd79804448b13ff485fe9ff5830c953e411"/>
    <w:p>
      <w:pPr>
        <w:pStyle w:val="Heading2"/>
      </w:pPr>
      <w:r>
        <w:t xml:space="preserve">6. Secrets and repository hygiene</w:t>
      </w:r>
    </w:p>
    <w:p>
      <w:pPr>
        <w:pStyle w:val="FirstParagraph"/>
      </w:pPr>
      <w:r>
        <w:t xml:space="preserve">No secrets, keys, credentials, or restricted data ever enter the repository, and the full history</w:t>
      </w:r>
      <w:r>
        <w:t xml:space="preserve"> </w:t>
      </w:r>
      <w:r>
        <w:t xml:space="preserve">stays clean rather than only the current tree. This is not a private-repository exemption: a</w:t>
      </w:r>
      <w:r>
        <w:t xml:space="preserve"> </w:t>
      </w:r>
      <w:r>
        <w:t xml:space="preserve">repository's visibility can change, and its history travels when it does.</w:t>
      </w:r>
    </w:p>
    <w:p>
      <w:pPr>
        <w:pStyle w:val="BodyText"/>
      </w:pPr>
      <w:r>
        <w:t xml:space="preserve">The rule and its mechanics are owned by</w:t>
      </w:r>
      <w:r>
        <w:t xml:space="preserve"> </w:t>
      </w:r>
      <w:hyperlink r:id="rId33">
        <w:r>
          <w:rPr>
            <w:rStyle w:val="Hyperlink"/>
          </w:rPr>
          <w:t xml:space="preserve">the leak gate</w:t>
        </w:r>
      </w:hyperlink>
      <w:r>
        <w:t xml:space="preserve"> </w:t>
      </w:r>
      <w:r>
        <w:t xml:space="preserve">and by</w:t>
      </w:r>
      <w:r>
        <w:t xml:space="preserve"> </w:t>
      </w:r>
      <w:r>
        <w:rPr>
          <w:i/>
          <w:iCs/>
        </w:rPr>
        <w:t xml:space="preserve">Secrets and sensitive</w:t>
      </w:r>
      <w:r>
        <w:rPr>
          <w:i/>
          <w:iCs/>
        </w:rPr>
        <w:t xml:space="preserve"> </w:t>
      </w:r>
      <w:r>
        <w:rPr>
          <w:i/>
          <w:iCs/>
        </w:rPr>
        <w:t xml:space="preserve">data never enter the repository, wherever it is stored</w:t>
      </w:r>
      <w:r>
        <w:t xml:space="preserve"> </w:t>
      </w:r>
      <w:r>
        <w:t xml:space="preserve">in</w:t>
      </w:r>
      <w:r>
        <w:t xml:space="preserve"> </w:t>
      </w:r>
      <w:hyperlink r:id="rId26">
        <w:r>
          <w:rPr>
            <w:rStyle w:val="Hyperlink"/>
          </w:rPr>
          <w:t xml:space="preserve">CI and standards</w:t>
        </w:r>
      </w:hyperlink>
      <w:r>
        <w:t xml:space="preserve">. Two points belong to the process rather than the scanner.</w:t>
      </w:r>
    </w:p>
    <w:p>
      <w:pPr>
        <w:pStyle w:val="BodyText"/>
      </w:pPr>
      <w:r>
        <w:rPr>
          <w:b/>
          <w:bCs/>
        </w:rPr>
        <w:t xml:space="preserve">A path deny-list is not a content control.</w:t>
      </w:r>
      <w:r>
        <w:t xml:space="preserve"> </w:t>
      </w:r>
      <w:r>
        <w:t xml:space="preserve">It keeps a file from being read; it does nothing about</w:t>
      </w:r>
      <w:r>
        <w:t xml:space="preserve"> </w:t>
      </w:r>
      <w:r>
        <w:t xml:space="preserve">the same content typed into a different file. Pair it with a fail-closed commit-time content scan.</w:t>
      </w:r>
    </w:p>
    <w:p>
      <w:pPr>
        <w:pStyle w:val="BodyText"/>
      </w:pPr>
      <w:r>
        <w:rPr>
          <w:b/>
          <w:bCs/>
        </w:rPr>
        <w:t xml:space="preserve">A commit-time scanner is not a live interceptor.</w:t>
      </w:r>
      <w:r>
        <w:t xml:space="preserve"> </w:t>
      </w:r>
      <w:r>
        <w:t xml:space="preserve">It sees what lands in a commit. It does not see</w:t>
      </w:r>
      <w:r>
        <w:t xml:space="preserve"> </w:t>
      </w:r>
      <w:r>
        <w:t xml:space="preserve">an outbound query, a tool-server call, or a fetch argument.</w:t>
      </w:r>
    </w:p>
    <w:p>
      <w:pPr>
        <w:pStyle w:val="BodyText"/>
      </w:pPr>
      <w:r>
        <w:t xml:space="preserve">Nothing mechanical stands between a running agent and that channel, so the discipline there is on the</w:t>
      </w:r>
      <w:r>
        <w:t xml:space="preserve"> </w:t>
      </w:r>
      <w:r>
        <w:t xml:space="preserve">human -- and the standard has to say so, rather than letting the green scanner imply coverage it does</w:t>
      </w:r>
      <w:r>
        <w:t xml:space="preserve"> </w:t>
      </w:r>
      <w:r>
        <w:t xml:space="preserve">not have.</w:t>
      </w:r>
    </w:p>
    <w:p>
      <w:r>
        <w:pict>
          <v:rect style="width:0;height:1.5pt" o:hralign="center" o:hrstd="t" o:hr="t"/>
        </w:pict>
      </w:r>
    </w:p>
    <w:bookmarkEnd w:id="39"/>
    <w:bookmarkStart w:id="42" w:name="X14e6323bcf6e9b0e8faa6bdd21b76d13cd211dd"/>
    <w:p>
      <w:pPr>
        <w:pStyle w:val="Heading2"/>
      </w:pPr>
      <w:r>
        <w:t xml:space="preserve">7. Secure defaults, and the opt-in that must be explicit</w:t>
      </w:r>
    </w:p>
    <w:p>
      <w:pPr>
        <w:pStyle w:val="FirstParagraph"/>
      </w:pPr>
      <w:r>
        <w:t xml:space="preserve">Ship with transport encryption on, encryption at rest on for every resting place section 1's table</w:t>
      </w:r>
      <w:r>
        <w:t xml:space="preserve"> </w:t>
      </w:r>
      <w:r>
        <w:t xml:space="preserve">names for a restricted class, least-privilege accounts, and verbose audit logging. Any insecure</w:t>
      </w:r>
      <w:r>
        <w:t xml:space="preserve"> </w:t>
      </w:r>
      <w:r>
        <w:t xml:space="preserve">posture is an explicit, named, documented and audited opt-in behind a fail-closed guard -- never a</w:t>
      </w:r>
      <w:r>
        <w:t xml:space="preserve"> </w:t>
      </w:r>
      <w:r>
        <w:t xml:space="preserve">posture a deployment inherits by omission.</w:t>
      </w:r>
    </w:p>
    <w:p>
      <w:pPr>
        <w:pStyle w:val="BodyText"/>
      </w:pPr>
      <w:r>
        <w:t xml:space="preserve">The at-rest half of that used to be unverifiable, and the reason was never a missing mechanism. It</w:t>
      </w:r>
      <w:r>
        <w:t xml:space="preserve"> </w:t>
      </w:r>
      <w:r>
        <w:t xml:space="preserve">was that nobody had said what it was quantified over. The table's third and fourth columns are what</w:t>
      </w:r>
      <w:r>
        <w:t xml:space="preserve"> </w:t>
      </w:r>
      <w:r>
        <w:t xml:space="preserve">make it checkable: the default holds when every resting place listed for a restricted class has a</w:t>
      </w:r>
      <w:r>
        <w:t xml:space="preserve"> </w:t>
      </w:r>
      <w:r>
        <w:t xml:space="preserve">protection recorded against it, and the retention column says how long each one keeps it.</w:t>
      </w:r>
    </w:p>
    <w:p>
      <w:pPr>
        <w:pStyle w:val="BodyText"/>
      </w:pPr>
      <w:r>
        <w:t xml:space="preserve">Two reading errors go with this, and both are defects in opposite directions.</w:t>
      </w:r>
    </w:p>
    <w:p>
      <w:pPr>
        <w:pStyle w:val="BodyText"/>
      </w:pPr>
      <w:r>
        <w:rPr>
          <w:b/>
          <w:bCs/>
        </w:rPr>
        <w:t xml:space="preserve">Off by default, described as active.</w:t>
      </w:r>
      <w:r>
        <w:t xml:space="preserve"> </w:t>
      </w:r>
      <w:r>
        <w:t xml:space="preserve">The code exists; nothing is running.</w:t>
      </w:r>
    </w:p>
    <w:p>
      <w:pPr>
        <w:pStyle w:val="BodyText"/>
      </w:pPr>
      <w:r>
        <w:rPr>
          <w:b/>
          <w:bCs/>
        </w:rPr>
        <w:t xml:space="preserve">Fail-closed, mis-read as inert.</w:t>
      </w:r>
      <w:r>
        <w:t xml:space="preserve"> </w:t>
      </w:r>
      <w:r>
        <w:t xml:space="preserve">It looks like nothing is happening because nothing needs to.</w:t>
      </w:r>
    </w:p>
    <w:p>
      <w:pPr>
        <w:pStyle w:val="BodyText"/>
      </w:pPr>
      <w:r>
        <w:t xml:space="preserve">Score and describe those states separately, and state fail-open versus fail-closed next to the code</w:t>
      </w:r>
      <w:r>
        <w:t xml:space="preserve"> </w:t>
      </w:r>
      <w:r>
        <w:t xml:space="preserve">with the reason -- see</w:t>
      </w:r>
      <w:r>
        <w:t xml:space="preserve"> </w:t>
      </w:r>
      <w:r>
        <w:rPr>
          <w:i/>
          <w:iCs/>
        </w:rPr>
        <w:t xml:space="preserve">Fail-open or fail-closed is a choice you must state</w:t>
      </w:r>
      <w:r>
        <w:t xml:space="preserve"> </w:t>
      </w:r>
      <w:r>
        <w:t xml:space="preserve">in</w:t>
      </w:r>
      <w:r>
        <w:t xml:space="preserve"> </w:t>
      </w:r>
      <w:hyperlink r:id="rId26">
        <w:r>
          <w:rPr>
            <w:rStyle w:val="Hyperlink"/>
          </w:rPr>
          <w:t xml:space="preserve">CI and standards</w:t>
        </w:r>
      </w:hyperlink>
      <w:r>
        <w:t xml:space="preserve">.</w:t>
      </w:r>
    </w:p>
    <w:bookmarkStart w:id="40" w:name="Xb97d7c0c1ae0709af64fd2b41a96e8b87e7072c"/>
    <w:p>
      <w:pPr>
        <w:pStyle w:val="Heading3"/>
      </w:pPr>
      <w:r>
        <w:t xml:space="preserve">Synthetic data by default in anything that is not production</w:t>
      </w:r>
    </w:p>
    <w:p>
      <w:pPr>
        <w:pStyle w:val="FirstParagraph"/>
      </w:pPr>
      <w:r>
        <w:rPr>
          <w:b/>
          <w:bCs/>
        </w:rPr>
        <w:t xml:space="preserve">Test, development and preproduction environments run on synthetic or dummy data, and any use of</w:t>
      </w:r>
      <w:r>
        <w:rPr>
          <w:b/>
          <w:bCs/>
        </w:rPr>
        <w:t xml:space="preserve"> </w:t>
      </w:r>
      <w:r>
        <w:rPr>
          <w:b/>
          <w:bCs/>
        </w:rPr>
        <w:t xml:space="preserve">live or operational data is approved, documented and dated in the section 13 deviations register,</w:t>
      </w:r>
      <w:r>
        <w:rPr>
          <w:b/>
          <w:bCs/>
        </w:rPr>
        <w:t xml:space="preserve"> </w:t>
      </w:r>
      <w:r>
        <w:rPr>
          <w:b/>
          <w:bCs/>
        </w:rPr>
        <w:t xml:space="preserve">with that environment protected to the same level as the system the data came from for as long as it</w:t>
      </w:r>
      <w:r>
        <w:rPr>
          <w:b/>
          <w:bCs/>
        </w:rPr>
        <w:t xml:space="preserve"> </w:t>
      </w:r>
      <w:r>
        <w:rPr>
          <w:b/>
          <w:bCs/>
        </w:rPr>
        <w:t xml:space="preserve">is present.</w:t>
      </w:r>
      <w:r>
        <w:t xml:space="preserve"> </w:t>
      </w:r>
      <w:r>
        <w:rPr>
          <w:b/>
          <w:bCs/>
        </w:rPr>
        <w:t xml:space="preserve">[derived: 800-53 SA-3(2)]</w:t>
      </w:r>
      <w:r>
        <w:t xml:space="preserve"> </w:t>
      </w:r>
      <w:r>
        <w:t xml:space="preserve">The approve-document-control clause and the equal-level</w:t>
      </w:r>
      <w:r>
        <w:t xml:space="preserve"> </w:t>
      </w:r>
      <w:r>
        <w:t xml:space="preserve">clause are the control; synthetic-by-default is the posture its own discussion directs, stated here</w:t>
      </w:r>
      <w:r>
        <w:t xml:space="preserve"> </w:t>
      </w:r>
      <w:r>
        <w:t xml:space="preserve">as the default so the approval path is the exception rather than the norm.</w:t>
      </w:r>
    </w:p>
    <w:p>
      <w:pPr>
        <w:pStyle w:val="BodyText"/>
      </w:pPr>
      <w:r>
        <w:t xml:space="preserve">State the ratchet explicitly, because it is the part people get backwards. Copying a restricted class</w:t>
      </w:r>
      <w:r>
        <w:t xml:space="preserve"> </w:t>
      </w:r>
      <w:r>
        <w:t xml:space="preserve">into a test environment does not lower that data's protection requirement -- it raises the</w:t>
      </w:r>
      <w:r>
        <w:t xml:space="preserve"> </w:t>
      </w:r>
      <w:r>
        <w:t xml:space="preserve">environment's. That is the entire argument for the default being synthetic, because the alternative is</w:t>
      </w:r>
      <w:r>
        <w:t xml:space="preserve"> </w:t>
      </w:r>
      <w:r>
        <w:t xml:space="preserve">protecting every scratch environment like production, permanently. It also supplies a protection for a</w:t>
      </w:r>
      <w:r>
        <w:t xml:space="preserve"> </w:t>
      </w:r>
      <w:r>
        <w:t xml:space="preserve">resting place section 1's table would otherwise list bare: the test fixture. The evidence is the</w:t>
      </w:r>
      <w:r>
        <w:t xml:space="preserve"> </w:t>
      </w:r>
      <w:r>
        <w:t xml:space="preserve">fixture or the generator that produces the synthetic data, plus a dated register entry naming what was</w:t>
      </w:r>
      <w:r>
        <w:t xml:space="preserve"> </w:t>
      </w:r>
      <w:r>
        <w:t xml:space="preserve">copied, where it went, and when it was destroyed. This is a default and a register route, not a new</w:t>
      </w:r>
      <w:r>
        <w:t xml:space="preserve"> </w:t>
      </w:r>
      <w:r>
        <w:t xml:space="preserve">blocking release gate.</w:t>
      </w:r>
    </w:p>
    <w:bookmarkEnd w:id="40"/>
    <w:bookmarkStart w:id="41" w:name="X4eda1cea0fbf2b691f9051769e165ce2d910452"/>
    <w:p>
      <w:pPr>
        <w:pStyle w:val="Heading3"/>
      </w:pPr>
      <w:r>
        <w:t xml:space="preserve">Rate a collection by the highest class it holds</w:t>
      </w:r>
    </w:p>
    <w:p>
      <w:pPr>
        <w:pStyle w:val="FirstParagraph"/>
      </w:pPr>
      <w:r>
        <w:rPr>
          <w:b/>
          <w:bCs/>
        </w:rPr>
        <w:t xml:space="preserve">Rate a collection by the highest class it holds, never by the average and never per entry.</w:t>
      </w:r>
      <w:r>
        <w:t xml:space="preserve"> </w:t>
      </w:r>
      <w:r>
        <w:rPr>
          <w:b/>
          <w:bCs/>
        </w:rPr>
        <w:t xml:space="preserve">[derived: FIPS 199]</w:t>
      </w:r>
      <w:r>
        <w:t xml:space="preserve"> </w:t>
      </w:r>
      <w:r>
        <w:t xml:space="preserve">The at-rest default above is quantified over resting places, and several of</w:t>
      </w:r>
      <w:r>
        <w:t xml:space="preserve"> </w:t>
      </w:r>
      <w:r>
        <w:t xml:space="preserve">the resting places this document tells you to build are accumulators. The section 9 audit log has an</w:t>
      </w:r>
      <w:r>
        <w:t xml:space="preserve"> </w:t>
      </w:r>
      <w:r>
        <w:t xml:space="preserve">entry-level rule about keeping payloads out and says nothing about the accumulated record. The</w:t>
      </w:r>
      <w:r>
        <w:t xml:space="preserve"> </w:t>
      </w:r>
      <w:r>
        <w:t xml:space="preserve">section 10 release archive holds the artifact plus its build inputs plus its inventory, and is</w:t>
      </w:r>
      <w:r>
        <w:t xml:space="preserve"> </w:t>
      </w:r>
      <w:r>
        <w:t xml:space="preserve">therefore a map of the whole system that no single input is. The</w:t>
      </w:r>
      <w:r>
        <w:t xml:space="preserve"> </w:t>
      </w:r>
      <w:r>
        <w:t xml:space="preserve">section 13 deviations register is the third. Each is individually innocuous, and collectively they are</w:t>
      </w:r>
      <w:r>
        <w:t xml:space="preserve"> </w:t>
      </w:r>
      <w:r>
        <w:t xml:space="preserve">the thing an attacker would actually want.</w:t>
      </w:r>
    </w:p>
    <w:p>
      <w:pPr>
        <w:pStyle w:val="BodyText"/>
      </w:pPr>
      <w:r>
        <w:t xml:space="preserve">Section 13 already reaches the right answer for the register -- publish the rule, not the inventory --</w:t>
      </w:r>
      <w:r>
        <w:t xml:space="preserve"> </w:t>
      </w:r>
      <w:r>
        <w:t xml:space="preserve">but it reaches it as a standalone instruction. Naming the roll-up as the principle is what generalises</w:t>
      </w:r>
      <w:r>
        <w:t xml:space="preserve"> </w:t>
      </w:r>
      <w:r>
        <w:t xml:space="preserve">it to the other two. This is a rating decision on three named artifacts rather than a process, and it</w:t>
      </w:r>
      <w:r>
        <w:t xml:space="preserve"> </w:t>
      </w:r>
      <w:r>
        <w:t xml:space="preserve">is evidenced by the access posture on each: who can read the archive, whether the register sits in the</w:t>
      </w:r>
      <w:r>
        <w:t xml:space="preserve"> </w:t>
      </w:r>
      <w:r>
        <w:t xml:space="preserve">published tree, and whether the audit log has a row in section 1's table.</w:t>
      </w:r>
    </w:p>
    <w:p>
      <w:r>
        <w:pict>
          <v:rect style="width:0;height:1.5pt" o:hralign="center" o:hrstd="t" o:hr="t"/>
        </w:pict>
      </w:r>
    </w:p>
    <w:bookmarkEnd w:id="41"/>
    <w:bookmarkEnd w:id="42"/>
    <w:bookmarkStart w:id="44" w:name="X08c545cdaea16d13c66d050a73fae11a3e2b4eb"/>
    <w:p>
      <w:pPr>
        <w:pStyle w:val="Heading2"/>
      </w:pPr>
      <w:r>
        <w:t xml:space="preserve">8. Machine-to-machine authentication</w:t>
      </w:r>
    </w:p>
    <w:p>
      <w:pPr>
        <w:pStyle w:val="FirstParagraph"/>
      </w:pPr>
      <w:r>
        <w:t xml:space="preserve">A caller that is a machine authenticates as a</w:t>
      </w:r>
      <w:r>
        <w:t xml:space="preserve"> </w:t>
      </w:r>
      <w:r>
        <w:rPr>
          <w:b/>
          <w:bCs/>
        </w:rPr>
        <w:t xml:space="preserve">system, not a person</w:t>
      </w:r>
      <w:r>
        <w:t xml:space="preserve">. Use the strongest mechanism</w:t>
      </w:r>
      <w:r>
        <w:t xml:space="preserve"> </w:t>
      </w:r>
      <w:r>
        <w:t xml:space="preserve">the peer system supports.</w:t>
      </w:r>
    </w:p>
    <w:p>
      <w:pPr>
        <w:pStyle w:val="BodyText"/>
      </w:pPr>
      <w:r>
        <w:t xml:space="preserve">Record, per connection, the mechanism, its scope, and a reference to where the credential lives. Keep</w:t>
      </w:r>
      <w:r>
        <w:t xml:space="preserve"> </w:t>
      </w:r>
      <w:r>
        <w:t xml:space="preserve">that record alongside that connection's configuration, so the posture is reviewable one connection at</w:t>
      </w:r>
      <w:r>
        <w:t xml:space="preserve"> </w:t>
      </w:r>
      <w:r>
        <w:t xml:space="preserve">a time rather than as a paragraph of prose.</w:t>
      </w:r>
    </w:p>
    <w:p>
      <w:pPr>
        <w:pStyle w:val="BodyText"/>
      </w:pPr>
      <w:r>
        <w:t xml:space="preserve">A workable hierarchy, strongest first:</w:t>
      </w:r>
    </w:p>
    <w:p>
      <w:pPr>
        <w:pStyle w:val="Compact"/>
        <w:numPr>
          <w:ilvl w:val="0"/>
          <w:numId w:val="1012"/>
        </w:numPr>
      </w:pPr>
      <w:r>
        <w:rPr>
          <w:b/>
          <w:bCs/>
        </w:rPr>
        <w:t xml:space="preserve">Mutual TLS</w:t>
      </w:r>
      <w:r>
        <w:t xml:space="preserve"> </w:t>
      </w:r>
      <w:r>
        <w:t xml:space="preserve">with full chain validation, revocation checking, and rotation before expiry.</w:t>
      </w:r>
    </w:p>
    <w:p>
      <w:pPr>
        <w:pStyle w:val="Compact"/>
        <w:numPr>
          <w:ilvl w:val="0"/>
          <w:numId w:val="1012"/>
        </w:numPr>
      </w:pPr>
      <w:r>
        <w:rPr>
          <w:b/>
          <w:bCs/>
        </w:rPr>
        <w:t xml:space="preserve">A client-credentials grant</w:t>
      </w:r>
      <w:r>
        <w:t xml:space="preserve">, preferring asymmetric client authentication over a shared secret,</w:t>
      </w:r>
      <w:r>
        <w:t xml:space="preserve"> </w:t>
      </w:r>
      <w:r>
        <w:t xml:space="preserve">issuing short-lived per-connection scoped tokens whose issuer, audience, expiry and scope are</w:t>
      </w:r>
      <w:r>
        <w:t xml:space="preserve"> </w:t>
      </w:r>
      <w:r>
        <w:t xml:space="preserve">validated on every request.</w:t>
      </w:r>
    </w:p>
    <w:p>
      <w:pPr>
        <w:pStyle w:val="Compact"/>
        <w:numPr>
          <w:ilvl w:val="0"/>
          <w:numId w:val="1012"/>
        </w:numPr>
      </w:pPr>
      <w:r>
        <w:rPr>
          <w:b/>
          <w:bCs/>
        </w:rPr>
        <w:t xml:space="preserve">Weaker mechanisms</w:t>
      </w:r>
      <w:r>
        <w:t xml:space="preserve"> </w:t>
      </w:r>
      <w:r>
        <w:t xml:space="preserve">-- a shared secret over TLS, a per-connection API key, a message-level</w:t>
      </w:r>
      <w:r>
        <w:t xml:space="preserve"> </w:t>
      </w:r>
      <w:r>
        <w:t xml:space="preserve">username token -- stay supported for peers that cannot do better, but only with a recorded</w:t>
      </w:r>
      <w:r>
        <w:t xml:space="preserve"> </w:t>
      </w:r>
      <w:r>
        <w:t xml:space="preserve">per-connection exception. The value of the record is that the weak connections are a short</w:t>
      </w:r>
      <w:r>
        <w:t xml:space="preserve"> </w:t>
      </w:r>
      <w:r>
        <w:t xml:space="preserve">explicit list rather than a discovery.</w:t>
      </w:r>
    </w:p>
    <w:p>
      <w:pPr>
        <w:pStyle w:val="FirstParagraph"/>
      </w:pPr>
      <w:r>
        <w:t xml:space="preserve">Across all of them: no cleartext transport for restricted data; credentials in a secret store and</w:t>
      </w:r>
      <w:r>
        <w:t xml:space="preserve"> </w:t>
      </w:r>
      <w:r>
        <w:t xml:space="preserve">never in code or configuration; least privilege per connection; network-level restriction as</w:t>
      </w:r>
      <w:r>
        <w:t xml:space="preserve"> </w:t>
      </w:r>
      <w:r>
        <w:t xml:space="preserve">defense in depth.</w:t>
      </w:r>
    </w:p>
    <w:bookmarkStart w:id="43" w:name="X3d7ee481263114e250585e60a9d5c13e5a28baf"/>
    <w:p>
      <w:pPr>
        <w:pStyle w:val="Heading3"/>
      </w:pPr>
      <w:r>
        <w:t xml:space="preserve">Service accounts: no long-lived secret in a file</w:t>
      </w:r>
    </w:p>
    <w:p>
      <w:pPr>
        <w:pStyle w:val="FirstParagraph"/>
      </w:pPr>
      <w:r>
        <w:t xml:space="preserve">Run under a least-privilege account whose credential rotates automatically and is never stored in</w:t>
      </w:r>
      <w:r>
        <w:t xml:space="preserve"> </w:t>
      </w:r>
      <w:r>
        <w:t xml:space="preserve">configuration. Where the platform offers a managed service identity, use it. Where the data store</w:t>
      </w:r>
      <w:r>
        <w:t xml:space="preserve"> </w:t>
      </w:r>
      <w:r>
        <w:t xml:space="preserve">accepts the service identity directly, authenticate that way rather than with a stored password.</w:t>
      </w:r>
    </w:p>
    <w:p>
      <w:pPr>
        <w:pStyle w:val="BodyText"/>
      </w:pPr>
      <w:r>
        <w:t xml:space="preserve">Perform directory lookups only over a TLS-protected channel and fail closed on a cleartext one. The</w:t>
      </w:r>
      <w:r>
        <w:t xml:space="preserve"> </w:t>
      </w:r>
      <w:r>
        <w:t xml:space="preserve">mechanics are platform-specific; the transferable property is that</w:t>
      </w:r>
      <w:r>
        <w:t xml:space="preserve"> </w:t>
      </w:r>
      <w:r>
        <w:rPr>
          <w:b/>
          <w:bCs/>
        </w:rPr>
        <w:t xml:space="preserve">no long-lived secret exists in a</w:t>
      </w:r>
      <w:r>
        <w:rPr>
          <w:b/>
          <w:bCs/>
        </w:rPr>
        <w:t xml:space="preserve"> </w:t>
      </w:r>
      <w:r>
        <w:rPr>
          <w:b/>
          <w:bCs/>
        </w:rPr>
        <w:t xml:space="preserve">file</w:t>
      </w:r>
      <w:r>
        <w:t xml:space="preserve"> </w:t>
      </w:r>
      <w:r>
        <w:t xml:space="preserve">-- which removes both the most commonly leaked credential and the one whose silent expiry</w:t>
      </w:r>
      <w:r>
        <w:t xml:space="preserve"> </w:t>
      </w:r>
      <w:r>
        <w:t xml:space="preserve">causes the outage nobody diagnoses.</w:t>
      </w:r>
    </w:p>
    <w:p>
      <w:r>
        <w:pict>
          <v:rect style="width:0;height:1.5pt" o:hralign="center" o:hrstd="t" o:hr="t"/>
        </w:pict>
      </w:r>
    </w:p>
    <w:bookmarkEnd w:id="43"/>
    <w:bookmarkEnd w:id="44"/>
    <w:bookmarkStart w:id="47" w:name="X11a9cb1723e5b511bbccf75d2588530cdcc5b38"/>
    <w:p>
      <w:pPr>
        <w:pStyle w:val="Heading2"/>
      </w:pPr>
      <w:r>
        <w:t xml:space="preserve">9. Tamper-evident audit logging</w:t>
      </w:r>
    </w:p>
    <w:p>
      <w:pPr>
        <w:pStyle w:val="FirstParagraph"/>
      </w:pPr>
      <w:r>
        <w:t xml:space="preserve">Produce an append-only, timestamped, actor-attributed audit log with a hash chain over its entries,</w:t>
      </w:r>
      <w:r>
        <w:t xml:space="preserve"> </w:t>
      </w:r>
      <w:r>
        <w:t xml:space="preserve">so alteration is detectable rather than merely discouraged. Gate reads on it. Keep secrets and</w:t>
      </w:r>
      <w:r>
        <w:t xml:space="preserve"> </w:t>
      </w:r>
      <w:r>
        <w:t xml:space="preserve">restricted data out of it entirely at informational level and above.</w:t>
      </w:r>
    </w:p>
    <w:p>
      <w:pPr>
        <w:pStyle w:val="BodyText"/>
      </w:pPr>
      <w:r>
        <w:t xml:space="preserve">An ordinary application log cannot tell an incident review whether the record was altered. A chained</w:t>
      </w:r>
      <w:r>
        <w:t xml:space="preserve"> </w:t>
      </w:r>
      <w:r>
        <w:t xml:space="preserve">one can, and it costs one hash per entry.</w:t>
      </w:r>
    </w:p>
    <w:p>
      <w:pPr>
        <w:pStyle w:val="BodyText"/>
      </w:pPr>
      <w:r>
        <w:t xml:space="preserve">Where the deployment is exposed beyond a single trusted host, off-box forwarding over TLS is what</w:t>
      </w:r>
      <w:r>
        <w:t xml:space="preserve"> </w:t>
      </w:r>
      <w:r>
        <w:t xml:space="preserve">stops a compromise of the host from also erasing its own record. Record that as an</w:t>
      </w:r>
      <w:r>
        <w:t xml:space="preserve"> </w:t>
      </w:r>
      <w:r>
        <w:t xml:space="preserve">exposure-conditional requirement rather than an always-on one, so a local-only deployment is not</w:t>
      </w:r>
      <w:r>
        <w:t xml:space="preserve"> </w:t>
      </w:r>
      <w:r>
        <w:t xml:space="preserve">described as non-compliant for a control it does not need.</w:t>
      </w:r>
    </w:p>
    <w:bookmarkStart w:id="45" w:name="X592ab2cc59a074e35b688ecba31d6bf75ef08fd"/>
    <w:p>
      <w:pPr>
        <w:pStyle w:val="Heading3"/>
      </w:pPr>
      <w:r>
        <w:t xml:space="preserve">What happens when the log cannot be written</w:t>
      </w:r>
    </w:p>
    <w:p>
      <w:pPr>
        <w:pStyle w:val="FirstParagraph"/>
      </w:pPr>
      <w:r>
        <w:rPr>
          <w:b/>
          <w:bCs/>
        </w:rPr>
        <w:t xml:space="preserve">State the behavior when the audit log is unwritable -- disk full, store unreachable, chain</w:t>
      </w:r>
      <w:r>
        <w:rPr>
          <w:b/>
          <w:bCs/>
        </w:rPr>
        <w:t xml:space="preserve"> </w:t>
      </w:r>
      <w:r>
        <w:rPr>
          <w:b/>
          <w:bCs/>
        </w:rPr>
        <w:t xml:space="preserve">verification failing -- as an explicit fail-open or fail-closed choice next to the code, and raise an</w:t>
      </w:r>
      <w:r>
        <w:rPr>
          <w:b/>
          <w:bCs/>
        </w:rPr>
        <w:t xml:space="preserve"> </w:t>
      </w:r>
      <w:r>
        <w:rPr>
          <w:b/>
          <w:bCs/>
        </w:rPr>
        <w:t xml:space="preserve">alert rather than degrading silently.</w:t>
      </w:r>
      <w:r>
        <w:t xml:space="preserve"> </w:t>
      </w:r>
      <w:r>
        <w:rPr>
          <w:b/>
          <w:bCs/>
        </w:rPr>
        <w:t xml:space="preserve">[prompted by: 800-53 AU-5]</w:t>
      </w:r>
      <w:r>
        <w:t xml:space="preserve"> </w:t>
      </w:r>
      <w:r>
        <w:t xml:space="preserve">The control supplies the alert</w:t>
      </w:r>
      <w:r>
        <w:t xml:space="preserve"> </w:t>
      </w:r>
      <w:r>
        <w:t xml:space="preserve">on a logging-process failure and a menu of responses to choose from. The rule that leads here is</w:t>
      </w:r>
      <w:r>
        <w:t xml:space="preserve"> </w:t>
      </w:r>
      <w:r>
        <w:t xml:space="preserve">section 7's -- state fail-open versus fail-closed next to the code -- applied to the one component</w:t>
      </w:r>
      <w:r>
        <w:t xml:space="preserve"> </w:t>
      </w:r>
      <w:r>
        <w:t xml:space="preserve">whose failure removes the evidence that anything failed at all, which is why it is prompted by AU-5</w:t>
      </w:r>
      <w:r>
        <w:t xml:space="preserve"> </w:t>
      </w:r>
      <w:r>
        <w:t xml:space="preserve">rather than a restatement of it.</w:t>
      </w:r>
    </w:p>
    <w:p>
      <w:pPr>
        <w:pStyle w:val="BodyText"/>
      </w:pPr>
      <w:r>
        <w:t xml:space="preserve">The trap is specific to a chained log, and it is why this is not an operational detail sitting beneath</w:t>
      </w:r>
      <w:r>
        <w:t xml:space="preserve"> </w:t>
      </w:r>
      <w:r>
        <w:t xml:space="preserve">the feature. An implementation that drops or truncates entries under storage pressure breaks the</w:t>
      </w:r>
      <w:r>
        <w:t xml:space="preserve"> </w:t>
      </w:r>
      <w:r>
        <w:t xml:space="preserve">chain, and a broken chain is indistinguishable at review time from one broken by tampering. So the</w:t>
      </w:r>
      <w:r>
        <w:t xml:space="preserve"> </w:t>
      </w:r>
      <w:r>
        <w:t xml:space="preserve">fallback -- overwrite the oldest records, stop accepting work, or stop generating records -- is part</w:t>
      </w:r>
      <w:r>
        <w:t xml:space="preserve"> </w:t>
      </w:r>
      <w:r>
        <w:t xml:space="preserve">of the tamper-evidence claim, and it belongs in the same paragraph as the hash chain rather than in a</w:t>
      </w:r>
      <w:r>
        <w:t xml:space="preserve"> </w:t>
      </w:r>
      <w:r>
        <w:t xml:space="preserve">runbook. The cost is a design decision, one branch and one alert, and it is testable by making the</w:t>
      </w:r>
      <w:r>
        <w:t xml:space="preserve"> </w:t>
      </w:r>
      <w:r>
        <w:t xml:space="preserve">sink fail.</w:t>
      </w:r>
    </w:p>
    <w:bookmarkEnd w:id="45"/>
    <w:bookmarkStart w:id="46" w:name="X4cc549780cd7e61d6d0628e1c196c335036c46e"/>
    <w:p>
      <w:pPr>
        <w:pStyle w:val="Heading3"/>
      </w:pPr>
      <w:r>
        <w:t xml:space="preserve">Ship the review affordance; the cadence is not yours</w:t>
      </w:r>
    </w:p>
    <w:p>
      <w:pPr>
        <w:pStyle w:val="FirstParagraph"/>
      </w:pPr>
      <w:r>
        <w:t xml:space="preserve">A log nobody can read is write-only by construction. The reading obligation is the kind of control</w:t>
      </w:r>
      <w:r>
        <w:t xml:space="preserve"> </w:t>
      </w:r>
      <w:r>
        <w:t xml:space="preserve">section 1 exists to stop going unowned: it is easy for a producer to assume the operator reviews the</w:t>
      </w:r>
      <w:r>
        <w:t xml:space="preserve"> </w:t>
      </w:r>
      <w:r>
        <w:t xml:space="preserve">log and for the operator to assume the log is reviewed by whoever built it.</w:t>
      </w:r>
    </w:p>
    <w:p>
      <w:pPr>
        <w:pStyle w:val="BodyText"/>
      </w:pPr>
      <w:r>
        <w:rPr>
          <w:b/>
          <w:bCs/>
        </w:rPr>
        <w:t xml:space="preserve">Ship the affordance and a labelled retention default.</w:t>
      </w:r>
      <w:r>
        <w:t xml:space="preserve"> </w:t>
      </w:r>
      <w:r>
        <w:rPr>
          <w:b/>
          <w:bCs/>
        </w:rPr>
        <w:t xml:space="preserve">[prompted by: 800-53 AU-6a, AU-11]</w:t>
      </w:r>
      <w:r>
        <w:t xml:space="preserve"> </w:t>
      </w:r>
      <w:r>
        <w:t xml:space="preserve">Query</w:t>
      </w:r>
      <w:r>
        <w:t xml:space="preserve"> </w:t>
      </w:r>
      <w:r>
        <w:t xml:space="preserve">and filter by actor and by time, export in a form another tool reads, and one documented command that</w:t>
      </w:r>
      <w:r>
        <w:t xml:space="preserve"> </w:t>
      </w:r>
      <w:r>
        <w:t xml:space="preserve">verifies the chain and prints which entry first fails. Ship a default retention period and label it</w:t>
      </w:r>
      <w:r>
        <w:t xml:space="preserve"> </w:t>
      </w:r>
      <w:r>
        <w:t xml:space="preserve">project-set, because an unbounded default is the reason the log later gets truncated by whoever runs</w:t>
      </w:r>
      <w:r>
        <w:t xml:space="preserve"> </w:t>
      </w:r>
      <w:r>
        <w:t xml:space="preserve">out of disk. The catalog states the review and the retention period as obligations of whoever operates</w:t>
      </w:r>
      <w:r>
        <w:t xml:space="preserve"> </w:t>
      </w:r>
      <w:r>
        <w:t xml:space="preserve">the system; the split below is this document's, and the affordance is the producer half it implies.</w:t>
      </w:r>
    </w:p>
    <w:p>
      <w:pPr>
        <w:pStyle w:val="BodyText"/>
      </w:pPr>
      <w:r>
        <w:t xml:space="preserve">The review cadence itself, and the definition of what counts as unusual activity in that environment,</w:t>
      </w:r>
      <w:r>
        <w:t xml:space="preserve"> </w:t>
      </w:r>
      <w:r>
        <w:t xml:space="preserve">belong to the operating organization -- which is why they now have a row in section 1's table rather</w:t>
      </w:r>
      <w:r>
        <w:t xml:space="preserve"> </w:t>
      </w:r>
      <w:r>
        <w:t xml:space="preserve">than a sentence here. Not claiming the cadence is the correct outcome under the ownership rule rather</w:t>
      </w:r>
      <w:r>
        <w:t xml:space="preserve"> </w:t>
      </w:r>
      <w:r>
        <w:t xml:space="preserve">than a dodge, and writing it into the table is what makes that visible. Both halves are a feature and</w:t>
      </w:r>
      <w:r>
        <w:t xml:space="preserve"> </w:t>
      </w:r>
      <w:r>
        <w:t xml:space="preserve">a constant; neither adds a blocking release condition.</w:t>
      </w:r>
    </w:p>
    <w:p>
      <w:r>
        <w:pict>
          <v:rect style="width:0;height:1.5pt" o:hralign="center" o:hrstd="t" o:hr="t"/>
        </w:pict>
      </w:r>
    </w:p>
    <w:bookmarkEnd w:id="46"/>
    <w:bookmarkEnd w:id="47"/>
    <w:bookmarkStart w:id="52" w:name="X48eebdbfd8d38cb086e115614d17c7297664944"/>
    <w:p>
      <w:pPr>
        <w:pStyle w:val="Heading2"/>
      </w:pPr>
      <w:r>
        <w:t xml:space="preserve">10. Build and release integrity</w:t>
      </w:r>
    </w:p>
    <w:p>
      <w:pPr>
        <w:pStyle w:val="FirstParagraph"/>
      </w:pPr>
      <w:r>
        <w:t xml:space="preserve">This is the part an adopter can check without trusting anything you say about your process, which is</w:t>
      </w:r>
      <w:r>
        <w:t xml:space="preserve"> </w:t>
      </w:r>
      <w:r>
        <w:t xml:space="preserve">what makes it worth more than the rest of your security page.</w:t>
      </w:r>
    </w:p>
    <w:bookmarkStart w:id="48" w:name="X0962a595a15c980cbc426c4ee953da82dbc2640"/>
    <w:p>
      <w:pPr>
        <w:pStyle w:val="Heading3"/>
      </w:pPr>
      <w:r>
        <w:t xml:space="preserve">Where the build runs, and who can change it</w:t>
      </w:r>
    </w:p>
    <w:p>
      <w:pPr>
        <w:pStyle w:val="FirstParagraph"/>
      </w:pPr>
      <w:r>
        <w:t xml:space="preserve">Everything in the next subsection secures the credential and the artifact. None of it says anything</w:t>
      </w:r>
      <w:r>
        <w:t xml:space="preserve"> </w:t>
      </w:r>
      <w:r>
        <w:t xml:space="preserve">about the machinery that produced them, or about the list of people and machines that can alter that</w:t>
      </w:r>
      <w:r>
        <w:t xml:space="preserve"> </w:t>
      </w:r>
      <w:r>
        <w:t xml:space="preserve">machinery. Say who may change the build and who may publish, as an enumeration rather than a policy</w:t>
      </w:r>
      <w:r>
        <w:t xml:space="preserve"> </w:t>
      </w:r>
      <w:r>
        <w:t xml:space="preserve">sentence.</w:t>
      </w:r>
    </w:p>
    <w:p>
      <w:pPr>
        <w:pStyle w:val="BodyText"/>
      </w:pPr>
      <w:r>
        <w:rPr>
          <w:b/>
          <w:bCs/>
        </w:rPr>
        <w:t xml:space="preserve">The release build runs on an ephemeral runner with no interactive login path, and never on a</w:t>
      </w:r>
      <w:r>
        <w:rPr>
          <w:b/>
          <w:bCs/>
        </w:rPr>
        <w:t xml:space="preserve"> </w:t>
      </w:r>
      <w:r>
        <w:rPr>
          <w:b/>
          <w:bCs/>
        </w:rPr>
        <w:t xml:space="preserve">developer workstation; an artifact built on one is not publishable.</w:t>
      </w:r>
      <w:r>
        <w:t xml:space="preserve"> </w:t>
      </w:r>
      <w:r>
        <w:rPr>
          <w:b/>
          <w:bCs/>
        </w:rPr>
        <w:t xml:space="preserve">[prompted by: 800-53 SA-3(1)]</w:t>
      </w:r>
      <w:r>
        <w:t xml:space="preserve"> </w:t>
      </w:r>
      <w:r>
        <w:t xml:space="preserve">The control asks that a preproduction environment be protected</w:t>
      </w:r>
      <w:r>
        <w:t xml:space="preserve"> </w:t>
      </w:r>
      <w:r>
        <w:t xml:space="preserve">commensurate with risk. Naming the runner, closing the interactive login path, and making an artifact</w:t>
      </w:r>
      <w:r>
        <w:t xml:space="preserve"> </w:t>
      </w:r>
      <w:r>
        <w:t xml:space="preserve">built on a workstation unpublishable are narrower and stronger than that, and they are this</w:t>
      </w:r>
      <w:r>
        <w:t xml:space="preserve"> </w:t>
      </w:r>
      <w:r>
        <w:t xml:space="preserve">document's. For most small teams this is already true and merely unstated, because a hosted runner</w:t>
      </w:r>
      <w:r>
        <w:t xml:space="preserve"> </w:t>
      </w:r>
      <w:r>
        <w:t xml:space="preserve">is ephemeral and has no interactive login by construction. Writing it down is the point: an unstated</w:t>
      </w:r>
      <w:r>
        <w:t xml:space="preserve"> </w:t>
      </w:r>
      <w:r>
        <w:t xml:space="preserve">property cannot be checked when it later stops being true. What it buys is the removal of the class</w:t>
      </w:r>
      <w:r>
        <w:t xml:space="preserve"> </w:t>
      </w:r>
      <w:r>
        <w:t xml:space="preserve">where a compromised or merely untidy workstation contributes bytes to a release, and it is what</w:t>
      </w:r>
      <w:r>
        <w:t xml:space="preserve"> </w:t>
      </w:r>
      <w:r>
        <w:t xml:space="preserve">makes the provenance attestation below mean anything, since provenance tracing to somebody's machine</w:t>
      </w:r>
      <w:r>
        <w:t xml:space="preserve"> </w:t>
      </w:r>
      <w:r>
        <w:t xml:space="preserve">is provenance about nothing. What it does not buy is any defense against a malicious change that was</w:t>
      </w:r>
      <w:r>
        <w:t xml:space="preserve"> </w:t>
      </w:r>
      <w:r>
        <w:t xml:space="preserve">reviewed and merged.</w:t>
      </w:r>
    </w:p>
    <w:p>
      <w:pPr>
        <w:pStyle w:val="BodyText"/>
      </w:pPr>
      <w:r>
        <w:rPr>
          <w:b/>
          <w:bCs/>
        </w:rPr>
        <w:t xml:space="preserve">The workflow definition and every file the workflow sources fall under the same protected-path rules</w:t>
      </w:r>
      <w:r>
        <w:rPr>
          <w:b/>
          <w:bCs/>
        </w:rPr>
        <w:t xml:space="preserve"> </w:t>
      </w:r>
      <w:r>
        <w:rPr>
          <w:b/>
          <w:bCs/>
        </w:rPr>
        <w:t xml:space="preserve">as release code.</w:t>
      </w:r>
      <w:r>
        <w:t xml:space="preserve"> </w:t>
      </w:r>
      <w:r>
        <w:t xml:space="preserve">A pipeline change must not be able to merge on a weaker gate than the code it</w:t>
      </w:r>
      <w:r>
        <w:t xml:space="preserve"> </w:t>
      </w:r>
      <w:r>
        <w:t xml:space="preserve">builds, because the build configuration is the part of the repository that can alter every artifact</w:t>
      </w:r>
      <w:r>
        <w:t xml:space="preserve"> </w:t>
      </w:r>
      <w:r>
        <w:t xml:space="preserve">without altering a line of source.</w:t>
      </w:r>
    </w:p>
    <w:p>
      <w:pPr>
        <w:pStyle w:val="BodyText"/>
      </w:pPr>
      <w:r>
        <w:rPr>
          <w:b/>
          <w:bCs/>
        </w:rPr>
        <w:t xml:space="preserve">The publishing capability is held by the workflow identity, and the human publishing path is closed</w:t>
      </w:r>
      <w:r>
        <w:rPr>
          <w:b/>
          <w:bCs/>
        </w:rPr>
        <w:t xml:space="preserve"> </w:t>
      </w:r>
      <w:r>
        <w:rPr>
          <w:b/>
          <w:bCs/>
        </w:rPr>
        <w:t xml:space="preserve">rather than merely unused.</w:t>
      </w:r>
      <w:r>
        <w:t xml:space="preserve"> </w:t>
      </w:r>
      <w:r>
        <w:rPr>
          <w:b/>
          <w:bCs/>
        </w:rPr>
        <w:t xml:space="preserve">[prompted by: 800-53 AC-6, CM-5]</w:t>
      </w:r>
      <w:r>
        <w:t xml:space="preserve"> </w:t>
      </w:r>
      <w:r>
        <w:t xml:space="preserve">Closed is a stronger claim than</w:t>
      </w:r>
      <w:r>
        <w:t xml:space="preserve"> </w:t>
      </w:r>
      <w:r>
        <w:t xml:space="preserve">least privilege makes, and it is the one worth writing down, because a path that exists and is not</w:t>
      </w:r>
      <w:r>
        <w:t xml:space="preserve"> </w:t>
      </w:r>
      <w:r>
        <w:t xml:space="preserve">used is a path nobody is watching. Two conditions travel with it. Required reviewers on the publishing</w:t>
      </w:r>
      <w:r>
        <w:t xml:space="preserve"> </w:t>
      </w:r>
      <w:r>
        <w:t xml:space="preserve">environment make the release a second decision rather than a consequence of the merge. And the token</w:t>
      </w:r>
      <w:r>
        <w:t xml:space="preserve"> </w:t>
      </w:r>
      <w:r>
        <w:t xml:space="preserve">scope is declared per job rather than inherited, so a job that has no reason to publish cannot.</w:t>
      </w:r>
    </w:p>
    <w:p>
      <w:pPr>
        <w:pStyle w:val="BodyText"/>
      </w:pPr>
      <w:r>
        <w:rPr>
          <w:b/>
          <w:bCs/>
        </w:rPr>
        <w:t xml:space="preserve">Enumerate every principal that can write to the trunk, administer the repository, or publish, and</w:t>
      </w:r>
      <w:r>
        <w:rPr>
          <w:b/>
          <w:bCs/>
        </w:rPr>
        <w:t xml:space="preserve"> </w:t>
      </w:r>
      <w:r>
        <w:rPr>
          <w:b/>
          <w:bCs/>
        </w:rPr>
        <w:t xml:space="preserve">review that enumeration on a stated cadence.</w:t>
      </w:r>
      <w:r>
        <w:t xml:space="preserve"> </w:t>
      </w:r>
      <w:r>
        <w:rPr>
          <w:b/>
          <w:bCs/>
        </w:rPr>
        <w:t xml:space="preserve">[derived: 800-53 CM-5(5)]</w:t>
      </w:r>
      <w:r>
        <w:t xml:space="preserve"> </w:t>
      </w:r>
      <w:r>
        <w:t xml:space="preserve">Human accounts, machine</w:t>
      </w:r>
      <w:r>
        <w:t xml:space="preserve"> </w:t>
      </w:r>
      <w:r>
        <w:t xml:space="preserve">accounts, deploy keys, installed applications and their scopes, and registry trusted-publisher</w:t>
      </w:r>
      <w:r>
        <w:t xml:space="preserve"> </w:t>
      </w:r>
      <w:r>
        <w:t xml:space="preserve">entries. Make it an enumeration for the same reason section 2 makes the boundary list an enumeration:</w:t>
      </w:r>
      <w:r>
        <w:t xml:space="preserve"> </w:t>
      </w:r>
      <w:r>
        <w:t xml:space="preserve">an entry nobody owns then shows up as a row nobody can explain, rather than as something nobody</w:t>
      </w:r>
      <w:r>
        <w:t xml:space="preserve"> </w:t>
      </w:r>
      <w:r>
        <w:t xml:space="preserve">thought to look for. The row worth staring at is the rarely-used automation token with publish scope,</w:t>
      </w:r>
      <w:r>
        <w:t xml:space="preserve"> </w:t>
      </w:r>
      <w:r>
        <w:t xml:space="preserve">which is a larger exposure than the maintainer's own account precisely because it has no session, no</w:t>
      </w:r>
      <w:r>
        <w:t xml:space="preserve"> </w:t>
      </w:r>
      <w:r>
        <w:t xml:space="preserve">notification and nobody watching it. Delete what is no longer needed at each pass and date the pass;</w:t>
      </w:r>
      <w:r>
        <w:t xml:space="preserve"> </w:t>
      </w:r>
      <w:r>
        <w:t xml:space="preserve">a dated export of the collaborator, deploy-key, installed-application and environment-protection</w:t>
      </w:r>
      <w:r>
        <w:t xml:space="preserve"> </w:t>
      </w:r>
      <w:r>
        <w:t xml:space="preserve">settings is the whole of the evidence. The honest caveat for a solo maintainer: this enumeration will</w:t>
      </w:r>
      <w:r>
        <w:t xml:space="preserve"> </w:t>
      </w:r>
      <w:r>
        <w:t xml:space="preserve">show one human holding everything, which is a finding for section 13 rather than a control to claim.</w:t>
      </w:r>
    </w:p>
    <w:p>
      <w:pPr>
        <w:pStyle w:val="BodyText"/>
      </w:pPr>
      <w:r>
        <w:rPr>
          <w:b/>
          <w:bCs/>
        </w:rPr>
        <w:t xml:space="preserve">Pin every action, image, plugin and tool the pipeline invokes to an immutable digest rather than a</w:t>
      </w:r>
      <w:r>
        <w:rPr>
          <w:b/>
          <w:bCs/>
        </w:rPr>
        <w:t xml:space="preserve"> </w:t>
      </w:r>
      <w:r>
        <w:rPr>
          <w:b/>
          <w:bCs/>
        </w:rPr>
        <w:t xml:space="preserve">moving tag, and review the pinned set on a stated cadence.</w:t>
      </w:r>
      <w:r>
        <w:t xml:space="preserve"> </w:t>
      </w:r>
      <w:r>
        <w:rPr>
          <w:b/>
          <w:bCs/>
        </w:rPr>
        <w:t xml:space="preserve">[prompted by: 800-53 SA-15a]</w:t>
      </w:r>
      <w:r>
        <w:t xml:space="preserve"> </w:t>
      </w:r>
      <w:r>
        <w:t xml:space="preserve">The</w:t>
      </w:r>
      <w:r>
        <w:t xml:space="preserve"> </w:t>
      </w:r>
      <w:r>
        <w:t xml:space="preserve">control asks that the development tools be identified, their options documented, and the integrity of</w:t>
      </w:r>
      <w:r>
        <w:t xml:space="preserve"> </w:t>
      </w:r>
      <w:r>
        <w:t xml:space="preserve">changes to them ensured; the immutable digest is one mechanism choice among several, and the review</w:t>
      </w:r>
      <w:r>
        <w:t xml:space="preserve"> </w:t>
      </w:r>
      <w:r>
        <w:t xml:space="preserve">cadence is in no part of it. The pinned set is the allowlist. The publishing controls below already</w:t>
      </w:r>
      <w:r>
        <w:t xml:space="preserve"> </w:t>
      </w:r>
      <w:r>
        <w:t xml:space="preserve">pin the one publishing action; the general rule over the whole execution surface is what was</w:t>
      </w:r>
      <w:r>
        <w:t xml:space="preserve"> </w:t>
      </w:r>
      <w:r>
        <w:t xml:space="preserve">missing. The cadence is the other half of it, because a pin that is never revisited silently becomes</w:t>
      </w:r>
      <w:r>
        <w:t xml:space="preserve"> </w:t>
      </w:r>
      <w:r>
        <w:t xml:space="preserve">an unpatched dependency -- which is exactly why a pinned digest and a blocking dependency-advisory</w:t>
      </w:r>
      <w:r>
        <w:t xml:space="preserve"> </w:t>
      </w:r>
      <w:r>
        <w:t xml:space="preserve">gate are complementary rather than redundant. State</w:t>
      </w:r>
      <w:r>
        <w:t xml:space="preserve"> </w:t>
      </w:r>
      <w:r>
        <w:t xml:space="preserve">the limit in the same paragraph, in this document's usual style: pinning establishes that you got the</w:t>
      </w:r>
      <w:r>
        <w:t xml:space="preserve"> </w:t>
      </w:r>
      <w:r>
        <w:t xml:space="preserve">same bytes as last time, never that those bytes are trustworthy.</w:t>
      </w:r>
    </w:p>
    <w:p>
      <w:pPr>
        <w:pStyle w:val="BodyText"/>
      </w:pPr>
      <w:r>
        <w:t xml:space="preserve">These are properties of the release path plus one recurring enumeration. They add no row to the</w:t>
      </w:r>
      <w:r>
        <w:t xml:space="preserve"> </w:t>
      </w:r>
      <w:r>
        <w:t xml:space="preserve">release gate in section 16 and weaken nothing above them. Where one of them is not true today, closing</w:t>
      </w:r>
      <w:r>
        <w:t xml:space="preserve"> </w:t>
      </w:r>
      <w:r>
        <w:t xml:space="preserve">that gap is the work rather than the waiver.</w:t>
      </w:r>
    </w:p>
    <w:bookmarkEnd w:id="48"/>
    <w:bookmarkStart w:id="49" w:name="Xca148109ff5f44572641d020555735042fe03e4"/>
    <w:p>
      <w:pPr>
        <w:pStyle w:val="Heading3"/>
      </w:pPr>
      <w:r>
        <w:t xml:space="preserve">Publishing controls, and the limit each one carries</w:t>
      </w:r>
    </w:p>
    <w:p>
      <w:pPr>
        <w:pStyle w:val="FirstParagraph"/>
      </w:pPr>
      <w:r>
        <w:rPr>
          <w:b/>
          <w:bCs/>
        </w:rPr>
        <w:t xml:space="preserve">Publishing credentials.</w:t>
      </w:r>
      <w:r>
        <w:t xml:space="preserve"> </w:t>
      </w:r>
      <w:r>
        <w:t xml:space="preserve">Replace long-lived registry tokens with credentials minted per run from</w:t>
      </w:r>
      <w:r>
        <w:t xml:space="preserve"> </w:t>
      </w:r>
      <w:r>
        <w:t xml:space="preserve">the pipeline's own workflow identity, scoped to a specific repository, workflow and environment, and</w:t>
      </w:r>
      <w:r>
        <w:t xml:space="preserve"> </w:t>
      </w:r>
      <w:r>
        <w:t xml:space="preserve">valid only for the length of an upload. This removes the leaked-token attack class outright.</w:t>
      </w:r>
    </w:p>
    <w:p>
      <w:pPr>
        <w:pStyle w:val="BodyText"/>
      </w:pPr>
      <w:r>
        <w:t xml:space="preserve">Two conditions travel with it. Restrict the publishing workflow to trusted triggers such as a tag or</w:t>
      </w:r>
      <w:r>
        <w:t xml:space="preserve"> </w:t>
      </w:r>
      <w:r>
        <w:t xml:space="preserve">a push, never to a trigger that grants write credentials to code from an untrusted contributor. And</w:t>
      </w:r>
      <w:r>
        <w:t xml:space="preserve"> </w:t>
      </w:r>
      <w:r>
        <w:t xml:space="preserve">pin the publishing action.</w:t>
      </w:r>
    </w:p>
    <w:p>
      <w:pPr>
        <w:pStyle w:val="BodyText"/>
      </w:pPr>
      <w:r>
        <w:t xml:space="preserve">Per-run credentials do not defend against takeover of the publishing account -- that is what</w:t>
      </w:r>
      <w:r>
        <w:t xml:space="preserve"> </w:t>
      </w:r>
      <w:r>
        <w:t xml:space="preserve">account-level multi-factor and environment protection rules are for.</w:t>
      </w:r>
    </w:p>
    <w:p>
      <w:pPr>
        <w:pStyle w:val="BodyText"/>
      </w:pPr>
      <w:r>
        <w:rPr>
          <w:b/>
          <w:bCs/>
        </w:rPr>
        <w:t xml:space="preserve">Publishing identity does not cover the artifact.</w:t>
      </w:r>
      <w:r>
        <w:t xml:space="preserve"> </w:t>
      </w:r>
      <w:r>
        <w:t xml:space="preserve">Establishing that the upload came from your</w:t>
      </w:r>
      <w:r>
        <w:t xml:space="preserve"> </w:t>
      </w:r>
      <w:r>
        <w:t xml:space="preserve">pipeline says nothing about whether the artifact was modified before or after it was built.</w:t>
      </w:r>
    </w:p>
    <w:p>
      <w:pPr>
        <w:pStyle w:val="BodyText"/>
      </w:pPr>
      <w:r>
        <w:t xml:space="preserve">Pair it with a signed attestation binding the distributed filename and its digest to the source</w:t>
      </w:r>
      <w:r>
        <w:t xml:space="preserve"> </w:t>
      </w:r>
      <w:r>
        <w:t xml:space="preserve">repository, workflow and commit that produced it. Record that attestation in a public transparency</w:t>
      </w:r>
      <w:r>
        <w:t xml:space="preserve"> </w:t>
      </w:r>
      <w:r>
        <w:t xml:space="preserve">log and serve it alongside the artifact, so a consumer can check it without contacting you. Neither</w:t>
      </w:r>
      <w:r>
        <w:t xml:space="preserve"> </w:t>
      </w:r>
      <w:r>
        <w:t xml:space="preserve">half is sufficient alone.</w:t>
      </w:r>
    </w:p>
    <w:p>
      <w:pPr>
        <w:pStyle w:val="BodyText"/>
      </w:pPr>
      <w:r>
        <w:rPr>
          <w:b/>
          <w:bCs/>
        </w:rPr>
        <w:t xml:space="preserve">Keyless signing moves the threat model, it does not remove it.</w:t>
      </w:r>
      <w:r>
        <w:t xml:space="preserve"> </w:t>
      </w:r>
      <w:r>
        <w:t xml:space="preserve">Identity-based signing with</w:t>
      </w:r>
      <w:r>
        <w:t xml:space="preserve"> </w:t>
      </w:r>
      <w:r>
        <w:t xml:space="preserve">short-lived certificates and a transparency log removes long-lived key management, which is a real</w:t>
      </w:r>
      <w:r>
        <w:t xml:space="preserve"> </w:t>
      </w:r>
      <w:r>
        <w:t xml:space="preserve">win. It relocates what you defend: multi-factor on the publishing account, branch protection, and</w:t>
      </w:r>
      <w:r>
        <w:t xml:space="preserve"> </w:t>
      </w:r>
      <w:r>
        <w:t xml:space="preserve">pipeline hardening become the load-bearing controls instead of a key safe.</w:t>
      </w:r>
    </w:p>
    <w:p>
      <w:pPr>
        <w:pStyle w:val="BodyText"/>
      </w:pPr>
      <w:r>
        <w:t xml:space="preserve">Where consumers verify on air-gapped or otherwise disconnected networks, bundle the transparency-log</w:t>
      </w:r>
      <w:r>
        <w:t xml:space="preserve"> </w:t>
      </w:r>
      <w:r>
        <w:t xml:space="preserve">inclusion proof with the artifact so verification does not require network access.</w:t>
      </w:r>
    </w:p>
    <w:p>
      <w:pPr>
        <w:pStyle w:val="BodyText"/>
      </w:pPr>
      <w:r>
        <w:rPr>
          <w:b/>
          <w:bCs/>
        </w:rPr>
        <w:t xml:space="preserve">Measure whether a signing scheme is verifiable before crediting it.</w:t>
      </w:r>
      <w:r>
        <w:t xml:space="preserve"> </w:t>
      </w:r>
      <w:r>
        <w:t xml:space="preserve">Coverage and verifiability</w:t>
      </w:r>
      <w:r>
        <w:t xml:space="preserve"> </w:t>
      </w:r>
      <w:r>
        <w:t xml:space="preserve">are separate questions, and both can be near zero while the scheme is nominally in place.</w:t>
      </w:r>
    </w:p>
    <w:p>
      <w:pPr>
        <w:pStyle w:val="BodyText"/>
      </w:pPr>
      <w:r>
        <w:rPr>
          <w:b/>
          <w:bCs/>
        </w:rPr>
        <w:t xml:space="preserve">[external]</w:t>
      </w:r>
      <w:r>
        <w:t xml:space="preserve"> </w:t>
      </w:r>
      <w:r>
        <w:t xml:space="preserve">When one large package registry measured its long-standing detached-signature support,</w:t>
      </w:r>
      <w:r>
        <w:t xml:space="preserve"> </w:t>
      </w:r>
      <w:r>
        <w:t xml:space="preserve">only about a third of signing keys could be meaningfully verified, and signed files were a fraction</w:t>
      </w:r>
      <w:r>
        <w:t xml:space="preserve"> </w:t>
      </w:r>
      <w:r>
        <w:t xml:space="preserve">of a percent of everything published. Support was withdrawn, and existing signatures are now silently</w:t>
      </w:r>
      <w:r>
        <w:t xml:space="preserve"> </w:t>
      </w:r>
      <w:r>
        <w:t xml:space="preserve">ignored.</w:t>
      </w:r>
    </w:p>
    <w:p>
      <w:pPr>
        <w:pStyle w:val="BodyText"/>
      </w:pPr>
      <w:r>
        <w:t xml:space="preserve">Before crediting a signing control, measure what proportion of artifacts carry a signature and what</w:t>
      </w:r>
      <w:r>
        <w:t xml:space="preserve"> </w:t>
      </w:r>
      <w:r>
        <w:t xml:space="preserve">proportion of those a consumer can resolve to an identity.</w:t>
      </w:r>
    </w:p>
    <w:bookmarkEnd w:id="49"/>
    <w:bookmarkStart w:id="50" w:name="Xe1acf8bcb72e6c414f95b924737381b6debc42f"/>
    <w:p>
      <w:pPr>
        <w:pStyle w:val="Heading3"/>
      </w:pPr>
      <w:r>
        <w:t xml:space="preserve">What an adopter can verify without contacting you</w:t>
      </w:r>
    </w:p>
    <w:p>
      <w:pPr>
        <w:pStyle w:val="FirstParagraph"/>
      </w:pPr>
      <w:r>
        <w:rPr>
          <w:b/>
          <w:bCs/>
        </w:rPr>
        <w:t xml:space="preserve">Build provenance.</w:t>
      </w:r>
      <w:r>
        <w:t xml:space="preserve"> </w:t>
      </w:r>
      <w:r>
        <w:t xml:space="preserve">Provenance generated by the pipeline proves the artifact traces to a specific</w:t>
      </w:r>
      <w:r>
        <w:t xml:space="preserve"> </w:t>
      </w:r>
      <w:r>
        <w:t xml:space="preserve">repository, workflow and commit rather than to somebody's machine. Isolating the build behind a</w:t>
      </w:r>
      <w:r>
        <w:t xml:space="preserve"> </w:t>
      </w:r>
      <w:r>
        <w:t xml:space="preserve">dedicated reusable workflow raises the assurance level further.</w:t>
      </w:r>
    </w:p>
    <w:p>
      <w:pPr>
        <w:pStyle w:val="BodyText"/>
      </w:pPr>
      <w:r>
        <w:rPr>
          <w:b/>
          <w:bCs/>
        </w:rPr>
        <w:t xml:space="preserve">A published digest manifest is the lowest-tech verification path.</w:t>
      </w:r>
      <w:r>
        <w:t xml:space="preserve"> </w:t>
      </w:r>
      <w:r>
        <w:t xml:space="preserve">Make it the documented baseline</w:t>
      </w:r>
      <w:r>
        <w:t xml:space="preserve"> </w:t>
      </w:r>
      <w:r>
        <w:t xml:space="preserve">rather than the afterthought. Publish a signed digest manifest with every release and document the</w:t>
      </w:r>
      <w:r>
        <w:t xml:space="preserve"> </w:t>
      </w:r>
      <w:r>
        <w:t xml:space="preserve">exact verification commands, including the offline path. That is the one route a reviewer on an</w:t>
      </w:r>
      <w:r>
        <w:t xml:space="preserve"> </w:t>
      </w:r>
      <w:r>
        <w:t xml:space="preserve">air-gapped network can always run.</w:t>
      </w:r>
    </w:p>
    <w:p>
      <w:pPr>
        <w:pStyle w:val="BodyText"/>
      </w:pPr>
      <w:r>
        <w:rPr>
          <w:b/>
          <w:bCs/>
        </w:rPr>
        <w:t xml:space="preserve">A component inventory is not tamper detection.</w:t>
      </w:r>
      <w:r>
        <w:t xml:space="preserve"> </w:t>
      </w:r>
      <w:r>
        <w:t xml:space="preserve">Generate one per release, in the formats your</w:t>
      </w:r>
      <w:r>
        <w:t xml:space="preserve"> </w:t>
      </w:r>
      <w:r>
        <w:t xml:space="preserve">consumers ingest, and attach it to the release and to the archived build.</w:t>
      </w:r>
    </w:p>
    <w:p>
      <w:pPr>
        <w:pStyle w:val="BodyText"/>
      </w:pPr>
      <w:r>
        <w:t xml:space="preserve">Be precise about what it buys: answering "do we ship component X" within minutes of a</w:t>
      </w:r>
      <w:r>
        <w:t xml:space="preserve"> </w:t>
      </w:r>
      <w:r>
        <w:t xml:space="preserve">widely-publicised advisory, drift detection by diffing a produced inventory against the intended</w:t>
      </w:r>
      <w:r>
        <w:t xml:space="preserve"> </w:t>
      </w:r>
      <w:r>
        <w:t xml:space="preserve">manifest, and satisfying procurement reviews. It is not integrity evidence for your own code and must</w:t>
      </w:r>
      <w:r>
        <w:t xml:space="preserve"> </w:t>
      </w:r>
      <w:r>
        <w:t xml:space="preserve">not be quoted as such.</w:t>
      </w:r>
    </w:p>
    <w:p>
      <w:pPr>
        <w:pStyle w:val="BodyText"/>
      </w:pPr>
      <w:r>
        <w:rPr>
          <w:b/>
          <w:bCs/>
        </w:rPr>
        <w:t xml:space="preserve">Archive each release with its build inputs and its inventory.</w:t>
      </w:r>
      <w:r>
        <w:t xml:space="preserve"> </w:t>
      </w:r>
      <w:r>
        <w:t xml:space="preserve">Two things depend on it: incident</w:t>
      </w:r>
      <w:r>
        <w:t xml:space="preserve"> </w:t>
      </w:r>
      <w:r>
        <w:t xml:space="preserve">analysis -- what exactly was in the version somebody is running -- and reproducibility. An archive</w:t>
      </w:r>
      <w:r>
        <w:t xml:space="preserve"> </w:t>
      </w:r>
      <w:r>
        <w:t xml:space="preserve">holding only the artifact answers neither.</w:t>
      </w:r>
    </w:p>
    <w:p>
      <w:pPr>
        <w:pStyle w:val="BodyText"/>
      </w:pPr>
      <w:r>
        <w:rPr>
          <w:b/>
          <w:bCs/>
        </w:rPr>
        <w:t xml:space="preserve">Back up that archive off the platform that hosts it, and restore from it at least once, dated.</w:t>
      </w:r>
      <w:r>
        <w:t xml:space="preserve"> </w:t>
      </w:r>
      <w:r>
        <w:rPr>
          <w:b/>
          <w:bCs/>
        </w:rPr>
        <w:t xml:space="preserve">[derived: 800-53 CP-9c]</w:t>
      </w:r>
      <w:r>
        <w:t xml:space="preserve"> </w:t>
      </w:r>
      <w:r>
        <w:t xml:space="preserve">The archive, the build inputs, the component inventories, the</w:t>
      </w:r>
      <w:r>
        <w:t xml:space="preserve"> </w:t>
      </w:r>
      <w:r>
        <w:t xml:space="preserve">attestations, the signing and publishing identity configuration, and the deviations register are all</w:t>
      </w:r>
      <w:r>
        <w:t xml:space="preserve"> </w:t>
      </w:r>
      <w:r>
        <w:t xml:space="preserve">evidence this document tells you to create and nowhere tells you to protect. They typically live in</w:t>
      </w:r>
      <w:r>
        <w:t xml:space="preserve"> </w:t>
      </w:r>
      <w:r>
        <w:t xml:space="preserve">one account at one provider, so an account suspension or a repository deletion takes the provenance,</w:t>
      </w:r>
      <w:r>
        <w:t xml:space="preserve"> </w:t>
      </w:r>
      <w:r>
        <w:t xml:space="preserve">the attestations, the archive and the register in a single event -- at which point every claim in</w:t>
      </w:r>
      <w:r>
        <w:t xml:space="preserve"> </w:t>
      </w:r>
      <w:r>
        <w:t xml:space="preserve">section 17 becomes unevidenced simultaneously. The restore is the part that matters: once, dated,</w:t>
      </w:r>
      <w:r>
        <w:t xml:space="preserve"> </w:t>
      </w:r>
      <w:r>
        <w:t xml:space="preserve">restore one archived release and confirm the restored artifact still matches the digest you published</w:t>
      </w:r>
      <w:r>
        <w:t xml:space="preserve"> </w:t>
      </w:r>
      <w:r>
        <w:t xml:space="preserve">for it. A copy nobody has restored from is a claim rather than a backup, which is the same defect</w:t>
      </w:r>
      <w:r>
        <w:t xml:space="preserve"> </w:t>
      </w:r>
      <w:r>
        <w:t xml:space="preserve">pattern this document already names for a clean scanner run and for an in-process integrity check.</w:t>
      </w:r>
    </w:p>
    <w:p>
      <w:pPr>
        <w:pStyle w:val="BodyText"/>
      </w:pPr>
      <w:r>
        <w:t xml:space="preserve">Keep the boundary explicit in the same paragraph. This is the producer backing up the producer's own</w:t>
      </w:r>
      <w:r>
        <w:t xml:space="preserve"> </w:t>
      </w:r>
      <w:r>
        <w:t xml:space="preserve">evidence. Backups, disaster recovery and availability for a deployment stay in the right-hand column</w:t>
      </w:r>
      <w:r>
        <w:t xml:space="preserve"> </w:t>
      </w:r>
      <w:r>
        <w:t xml:space="preserve">of section 1, unchanged. So this reaches the evidence archive and not a deployment's data: do not</w:t>
      </w:r>
      <w:r>
        <w:t xml:space="preserve"> </w:t>
      </w:r>
      <w:r>
        <w:t xml:space="preserve">write it up as covering backup and restore.</w:t>
      </w:r>
    </w:p>
    <w:p>
      <w:pPr>
        <w:pStyle w:val="BodyText"/>
      </w:pPr>
      <w:r>
        <w:rPr>
          <w:b/>
          <w:bCs/>
        </w:rPr>
        <w:t xml:space="preserve">What leaves the build must be only what was intended.</w:t>
      </w:r>
      <w:r>
        <w:t xml:space="preserve"> </w:t>
      </w:r>
      <w:r>
        <w:t xml:space="preserve">Declare an explicit allowlist of what the</w:t>
      </w:r>
      <w:r>
        <w:t xml:space="preserve"> </w:t>
      </w:r>
      <w:r>
        <w:t xml:space="preserve">published artifact contains, gate on it before the upload step, and verify the published artifact once</w:t>
      </w:r>
      <w:r>
        <w:t xml:space="preserve"> </w:t>
      </w:r>
      <w:r>
        <w:t xml:space="preserve">after release, because checking what you built is not checking what shipped.</w:t>
      </w:r>
    </w:p>
    <w:p>
      <w:pPr>
        <w:pStyle w:val="BodyText"/>
      </w:pPr>
      <w:r>
        <w:t xml:space="preserve">The rule and its failure mode are stated in full under</w:t>
      </w:r>
      <w:r>
        <w:t xml:space="preserve"> </w:t>
      </w:r>
      <w:r>
        <w:rPr>
          <w:i/>
          <w:iCs/>
        </w:rPr>
        <w:t xml:space="preserve">Package manifests are allowlists, not sweeps</w:t>
      </w:r>
      <w:r>
        <w:t xml:space="preserve"> </w:t>
      </w:r>
      <w:r>
        <w:t xml:space="preserve">in</w:t>
      </w:r>
      <w:r>
        <w:t xml:space="preserve"> </w:t>
      </w:r>
      <w:hyperlink r:id="rId26">
        <w:r>
          <w:rPr>
            <w:rStyle w:val="Hyperlink"/>
          </w:rPr>
          <w:t xml:space="preserve">CI and standards</w:t>
        </w:r>
      </w:hyperlink>
      <w:r>
        <w:t xml:space="preserve">. The case worth naming here is that material a project</w:t>
      </w:r>
      <w:r>
        <w:t xml:space="preserve"> </w:t>
      </w:r>
      <w:r>
        <w:t xml:space="preserve">treats as withheld can travel inside a published distribution without anyone reviewing the packaging</w:t>
      </w:r>
      <w:r>
        <w:t xml:space="preserve"> </w:t>
      </w:r>
      <w:r>
        <w:t xml:space="preserve">list.</w:t>
      </w:r>
    </w:p>
    <w:bookmarkEnd w:id="50"/>
    <w:bookmarkStart w:id="51" w:name="Xc32df6696e9411929dcc3ab12f3985f03bc5873"/>
    <w:p>
      <w:pPr>
        <w:pStyle w:val="Heading3"/>
      </w:pPr>
      <w:r>
        <w:t xml:space="preserve">Obfuscation is not the control you are looking for</w:t>
      </w:r>
    </w:p>
    <w:p>
      <w:pPr>
        <w:pStyle w:val="FirstParagraph"/>
      </w:pPr>
      <w:r>
        <w:t xml:space="preserve">For code whose source is published, obfuscating or compiling the shipped artifact protects nothing</w:t>
      </w:r>
      <w:r>
        <w:t xml:space="preserve"> </w:t>
      </w:r>
      <w:r>
        <w:t xml:space="preserve">that matters. There is no confidentiality to preserve, and the tamper resistance gained is marginal.</w:t>
      </w:r>
      <w:r>
        <w:t xml:space="preserve"> </w:t>
      </w:r>
      <w:r>
        <w:t xml:space="preserve">Where a copyleft license requires corresponding source, an obfuscated build also creates friction with</w:t>
      </w:r>
      <w:r>
        <w:t xml:space="preserve"> </w:t>
      </w:r>
      <w:r>
        <w:t xml:space="preserve">that obligation.</w:t>
      </w:r>
    </w:p>
    <w:p>
      <w:pPr>
        <w:pStyle w:val="BodyText"/>
      </w:pPr>
      <w:r>
        <w:t xml:space="preserve">The vendors concede the limit themselves. One obfuscation product's own documentation states it is</w:t>
      </w:r>
      <w:r>
        <w:t xml:space="preserve"> </w:t>
      </w:r>
      <w:r>
        <w:t xml:space="preserve">not good at memory protection or anti-debug. The same documentation says its runtime-data protection</w:t>
      </w:r>
      <w:r>
        <w:t xml:space="preserve"> </w:t>
      </w:r>
      <w:r>
        <w:t xml:space="preserve">holds only if the interpreter and its runtime extension are not compromised -- a condition a</w:t>
      </w:r>
      <w:r>
        <w:t xml:space="preserve"> </w:t>
      </w:r>
      <w:r>
        <w:t xml:space="preserve">privileged attacker defeats by definition.</w:t>
      </w:r>
    </w:p>
    <w:p>
      <w:pPr>
        <w:pStyle w:val="BodyText"/>
      </w:pPr>
      <w:r>
        <w:t xml:space="preserve">One native compiler's documentation concedes that its default single-file mode is a self-extracting</w:t>
      </w:r>
      <w:r>
        <w:t xml:space="preserve"> </w:t>
      </w:r>
      <w:r>
        <w:t xml:space="preserve">archive whose contents land on disk for inspection. Bytecode-only distribution is trivially</w:t>
      </w:r>
      <w:r>
        <w:t xml:space="preserve"> </w:t>
      </w:r>
      <w:r>
        <w:t xml:space="preserve">decompiled and patched.</w:t>
      </w:r>
    </w:p>
    <w:p>
      <w:pPr>
        <w:pStyle w:val="BodyText"/>
      </w:pPr>
      <w:r>
        <w:rPr>
          <w:b/>
          <w:bCs/>
        </w:rPr>
        <w:t xml:space="preserve">The rule that survives all of it: a protection scheme that must run inside the process it protects</w:t>
      </w:r>
      <w:r>
        <w:rPr>
          <w:b/>
          <w:bCs/>
        </w:rPr>
        <w:t xml:space="preserve"> </w:t>
      </w:r>
      <w:r>
        <w:rPr>
          <w:b/>
          <w:bCs/>
        </w:rPr>
        <w:t xml:space="preserve">assumes an uncompromised runtime, which is exactly the assumption a privileged attacker breaks.</w:t>
      </w:r>
      <w:r>
        <w:t xml:space="preserve"> </w:t>
      </w:r>
      <w:r>
        <w:t xml:space="preserve">Spend the budget on verification instead -- provenance, attestation, inventory, digests -- because</w:t>
      </w:r>
      <w:r>
        <w:t xml:space="preserve"> </w:t>
      </w:r>
      <w:r>
        <w:t xml:space="preserve">that is what a reviewer can actually check.</w:t>
      </w:r>
    </w:p>
    <w:p>
      <w:pPr>
        <w:pStyle w:val="BodyText"/>
      </w:pPr>
      <w:r>
        <w:t xml:space="preserve">If you do ship a hardened build, position it as raising analysis cost, never as tamper-proof, and keep</w:t>
      </w:r>
      <w:r>
        <w:t xml:space="preserve"> </w:t>
      </w:r>
      <w:r>
        <w:t xml:space="preserve">secrets and authorization decisions out of any artifact an adversary holds.</w:t>
      </w:r>
    </w:p>
    <w:p>
      <w:r>
        <w:pict>
          <v:rect style="width:0;height:1.5pt" o:hralign="center" o:hrstd="t" o:hr="t"/>
        </w:pict>
      </w:r>
    </w:p>
    <w:bookmarkEnd w:id="51"/>
    <w:bookmarkEnd w:id="52"/>
    <w:bookmarkStart w:id="55" w:name="X254797a2ada8f8185b1c8b4abb87efa09aeaec0"/>
    <w:p>
      <w:pPr>
        <w:pStyle w:val="Heading2"/>
      </w:pPr>
      <w:r>
        <w:t xml:space="preserve">11. Runtime tamper resistance, and the bootstrap-trust limit</w:t>
      </w:r>
    </w:p>
    <w:p>
      <w:pPr>
        <w:pStyle w:val="FirstParagraph"/>
      </w:pPr>
      <w:r>
        <w:t xml:space="preserve">An application that hashes its own files against a signed manifest at startup detects accidents and</w:t>
      </w:r>
      <w:r>
        <w:t xml:space="preserve"> </w:t>
      </w:r>
      <w:r>
        <w:t xml:space="preserve">unsophisticated tampering and produces an audit signal. That is worth having, and it is all it is.</w:t>
      </w:r>
    </w:p>
    <w:p>
      <w:pPr>
        <w:pStyle w:val="BodyText"/>
      </w:pPr>
      <w:r>
        <w:t xml:space="preserve">It cannot be more, because</w:t>
      </w:r>
      <w:r>
        <w:t xml:space="preserve"> </w:t>
      </w:r>
      <w:r>
        <w:rPr>
          <w:b/>
          <w:bCs/>
        </w:rPr>
        <w:t xml:space="preserve">the checker runs in the same trust domain as the thing it checks</w:t>
      </w:r>
      <w:r>
        <w:t xml:space="preserve">.</w:t>
      </w:r>
      <w:r>
        <w:t xml:space="preserve"> </w:t>
      </w:r>
      <w:r>
        <w:t xml:space="preserve">Anyone who can edit the code on disk can also edit the manifest, the embedded key, or the verification</w:t>
      </w:r>
      <w:r>
        <w:t xml:space="preserve"> </w:t>
      </w:r>
      <w:r>
        <w:t xml:space="preserve">routine; anyone who can alter the runtime can stub it.</w:t>
      </w:r>
    </w:p>
    <w:p>
      <w:pPr>
        <w:pStyle w:val="BodyText"/>
      </w:pPr>
      <w:r>
        <w:t xml:space="preserve">The chain of trust only terminates in hardware measured boot, which is a platform decision the</w:t>
      </w:r>
      <w:r>
        <w:t xml:space="preserve"> </w:t>
      </w:r>
      <w:r>
        <w:t xml:space="preserve">operator makes and not something the software ships. Ship the check as defense in depth, document the</w:t>
      </w:r>
      <w:r>
        <w:t xml:space="preserve"> </w:t>
      </w:r>
      <w:r>
        <w:t xml:space="preserve">limit in the same paragraph as the feature, and never let it be quoted as prevention.</w:t>
      </w:r>
    </w:p>
    <w:p>
      <w:pPr>
        <w:pStyle w:val="BodyText"/>
      </w:pPr>
      <w:r>
        <w:rPr>
          <w:b/>
          <w:bCs/>
        </w:rPr>
        <w:t xml:space="preserve">State the honest objective.</w:t>
      </w:r>
      <w:r>
        <w:t xml:space="preserve"> </w:t>
      </w:r>
      <w:r>
        <w:t xml:space="preserve">On a host where the adversary has administrative privilege, every</w:t>
      </w:r>
      <w:r>
        <w:t xml:space="preserve"> </w:t>
      </w:r>
      <w:r>
        <w:t xml:space="preserve">application-level control is ultimately defeatable -- agents can be disabled, baselines altered, the</w:t>
      </w:r>
      <w:r>
        <w:t xml:space="preserve"> </w:t>
      </w:r>
      <w:r>
        <w:t xml:space="preserve">runtime patched, behavior hooked at load time. Say so explicitly rather than letting the control list</w:t>
      </w:r>
      <w:r>
        <w:t xml:space="preserve"> </w:t>
      </w:r>
      <w:r>
        <w:t xml:space="preserve">imply prevention.</w:t>
      </w:r>
    </w:p>
    <w:p>
      <w:pPr>
        <w:pStyle w:val="BodyText"/>
      </w:pPr>
      <w:r>
        <w:t xml:space="preserve">What is achievable is to make tampering noisy, costly and detectable, to produce audit evidence, and</w:t>
      </w:r>
      <w:r>
        <w:t xml:space="preserve"> </w:t>
      </w:r>
      <w:r>
        <w:t xml:space="preserve">to push the trust root as low as the operator is willing to go.</w:t>
      </w:r>
    </w:p>
    <w:bookmarkStart w:id="53" w:name="X03039a66da44c7154d14d988511a9288cf0ecd3"/>
    <w:p>
      <w:pPr>
        <w:pStyle w:val="Heading3"/>
      </w:pPr>
      <w:r>
        <w:t xml:space="preserve">Operator-owned hardening: document and recommend, never claim</w:t>
      </w:r>
    </w:p>
    <w:p>
      <w:pPr>
        <w:pStyle w:val="FirstParagraph"/>
      </w:pPr>
      <w:r>
        <w:t xml:space="preserve">These controls are all stronger than any application-level control named above, and none of them are</w:t>
      </w:r>
      <w:r>
        <w:t xml:space="preserve"> </w:t>
      </w:r>
      <w:r>
        <w:t xml:space="preserve">yours:</w:t>
      </w:r>
    </w:p>
    <w:p>
      <w:pPr>
        <w:pStyle w:val="Compact"/>
        <w:numPr>
          <w:ilvl w:val="0"/>
          <w:numId w:val="1013"/>
        </w:numPr>
      </w:pPr>
      <w:r>
        <w:t xml:space="preserve">file-integrity monitoring against a baseline</w:t>
      </w:r>
    </w:p>
    <w:p>
      <w:pPr>
        <w:pStyle w:val="Compact"/>
        <w:numPr>
          <w:ilvl w:val="0"/>
          <w:numId w:val="1013"/>
        </w:numPr>
      </w:pPr>
      <w:r>
        <w:t xml:space="preserve">immutable or read-only deployment with writable state confined to the data store</w:t>
      </w:r>
    </w:p>
    <w:p>
      <w:pPr>
        <w:pStyle w:val="Compact"/>
        <w:numPr>
          <w:ilvl w:val="0"/>
          <w:numId w:val="1013"/>
        </w:numPr>
      </w:pPr>
      <w:r>
        <w:t xml:space="preserve">least-privilege file ownership so the running account cannot rewrite its own code</w:t>
      </w:r>
    </w:p>
    <w:p>
      <w:pPr>
        <w:pStyle w:val="Compact"/>
        <w:numPr>
          <w:ilvl w:val="0"/>
          <w:numId w:val="1013"/>
        </w:numPr>
      </w:pPr>
      <w:r>
        <w:t xml:space="preserve">confinement under a mandatory access control system</w:t>
      </w:r>
    </w:p>
    <w:p>
      <w:pPr>
        <w:pStyle w:val="Compact"/>
        <w:numPr>
          <w:ilvl w:val="0"/>
          <w:numId w:val="1013"/>
        </w:numPr>
      </w:pPr>
      <w:r>
        <w:t xml:space="preserve">signed-artifact admission control that rejects anything unsigned</w:t>
      </w:r>
    </w:p>
    <w:p>
      <w:pPr>
        <w:pStyle w:val="FirstParagraph"/>
      </w:pPr>
      <w:r>
        <w:t xml:space="preserve">Ship a hardening guide with a concrete list of paths to monitor and example rules, so the operator has</w:t>
      </w:r>
      <w:r>
        <w:t xml:space="preserve"> </w:t>
      </w:r>
      <w:r>
        <w:t xml:space="preserve">something to apply on day one rather than a category name.</w:t>
      </w:r>
    </w:p>
    <w:bookmarkEnd w:id="53"/>
    <w:bookmarkStart w:id="54" w:name="X438150f8dfc89784d5bd3543f347a17625c0f0c"/>
    <w:p>
      <w:pPr>
        <w:pStyle w:val="Heading3"/>
      </w:pPr>
      <w:r>
        <w:t xml:space="preserve">Roll out a blocking verification control in audit mode first</w:t>
      </w:r>
    </w:p>
    <w:p>
      <w:pPr>
        <w:pStyle w:val="FirstParagraph"/>
      </w:pPr>
      <w:r>
        <w:t xml:space="preserve">A control that rejects artifacts failing verification will also reject valid artifacts whenever its</w:t>
      </w:r>
      <w:r>
        <w:t xml:space="preserve"> </w:t>
      </w:r>
      <w:r>
        <w:t xml:space="preserve">own preconditions are unmet -- for instance when the enforcing component cannot reach the store</w:t>
      </w:r>
      <w:r>
        <w:t xml:space="preserve"> </w:t>
      </w:r>
      <w:r>
        <w:t xml:space="preserve">holding the signatures it must fetch.</w:t>
      </w:r>
    </w:p>
    <w:p>
      <w:pPr>
        <w:pStyle w:val="BodyText"/>
      </w:pPr>
      <w:r>
        <w:t xml:space="preserve">Start in audit mode where it reports but does not block, confirm it is resolving what it needs, then</w:t>
      </w:r>
      <w:r>
        <w:t xml:space="preserve"> </w:t>
      </w:r>
      <w:r>
        <w:t xml:space="preserve">switch to enforce. The alternative is a rollout that blocks legitimate deployments on day one and gets</w:t>
      </w:r>
      <w:r>
        <w:t xml:space="preserve"> </w:t>
      </w:r>
      <w:r>
        <w:t xml:space="preserve">switched off permanently as a result.</w:t>
      </w:r>
    </w:p>
    <w:p>
      <w:r>
        <w:pict>
          <v:rect style="width:0;height:1.5pt" o:hralign="center" o:hrstd="t" o:hr="t"/>
        </w:pict>
      </w:r>
    </w:p>
    <w:bookmarkEnd w:id="54"/>
    <w:bookmarkEnd w:id="55"/>
    <w:bookmarkStart w:id="59" w:name="Xc32b009c31e5f6409196a95ed4c1406da6dc82b"/>
    <w:p>
      <w:pPr>
        <w:pStyle w:val="Heading2"/>
      </w:pPr>
      <w:r>
        <w:t xml:space="preserve">12. Vulnerability response, exercised</w:t>
      </w:r>
    </w:p>
    <w:p>
      <w:pPr>
        <w:pStyle w:val="FirstParagraph"/>
      </w:pPr>
      <w:r>
        <w:t xml:space="preserve">A response program is a process control, not a document. It needs:</w:t>
      </w:r>
    </w:p>
    <w:p>
      <w:pPr>
        <w:pStyle w:val="Compact"/>
        <w:numPr>
          <w:ilvl w:val="0"/>
          <w:numId w:val="1014"/>
        </w:numPr>
      </w:pPr>
      <w:r>
        <w:t xml:space="preserve">A defined private intake channel.</w:t>
      </w:r>
    </w:p>
    <w:p>
      <w:pPr>
        <w:pStyle w:val="Compact"/>
        <w:numPr>
          <w:ilvl w:val="0"/>
          <w:numId w:val="1014"/>
        </w:numPr>
      </w:pPr>
      <w:r>
        <w:t xml:space="preserve">Severity-banded remediation windows.</w:t>
      </w:r>
    </w:p>
    <w:p>
      <w:pPr>
        <w:pStyle w:val="Compact"/>
        <w:numPr>
          <w:ilvl w:val="0"/>
          <w:numId w:val="1014"/>
        </w:numPr>
      </w:pPr>
      <w:r>
        <w:t xml:space="preserve">A root-cause review for significant findings, feeding systemic causes back into the standard.</w:t>
      </w:r>
    </w:p>
    <w:p>
      <w:pPr>
        <w:pStyle w:val="Compact"/>
        <w:numPr>
          <w:ilvl w:val="0"/>
          <w:numId w:val="1014"/>
        </w:numPr>
      </w:pPr>
      <w:r>
        <w:t xml:space="preserve">Coordinated disclosure after a fix exists.</w:t>
      </w:r>
    </w:p>
    <w:p>
      <w:pPr>
        <w:pStyle w:val="Compact"/>
        <w:numPr>
          <w:ilvl w:val="0"/>
          <w:numId w:val="1014"/>
        </w:numPr>
      </w:pPr>
      <w:r>
        <w:rPr>
          <w:b/>
          <w:bCs/>
        </w:rPr>
        <w:t xml:space="preserve">The machinery exercised end to end at least once, as a dry run.</w:t>
      </w:r>
      <w:r>
        <w:t xml:space="preserve"> </w:t>
      </w:r>
      <w:r>
        <w:t xml:space="preserve">This is the part usually</w:t>
      </w:r>
      <w:r>
        <w:t xml:space="preserve"> </w:t>
      </w:r>
      <w:r>
        <w:t xml:space="preserve">missing, and it is the part that finds the broken intake address before a real reporter does.</w:t>
      </w:r>
    </w:p>
    <w:p>
      <w:pPr>
        <w:pStyle w:val="FirstParagraph"/>
      </w:pPr>
      <w:r>
        <w:rPr>
          <w:b/>
          <w:bCs/>
        </w:rPr>
        <w:t xml:space="preserve">State when the clock starts, next to the window.</w:t>
      </w:r>
      <w:r>
        <w:t xml:space="preserve"> </w:t>
      </w:r>
      <w:r>
        <w:t xml:space="preserve">The two obvious choices give very different</w:t>
      </w:r>
      <w:r>
        <w:t xml:space="preserve"> </w:t>
      </w:r>
      <w:r>
        <w:t xml:space="preserve">numbers. Measuring from your own triage is right for your own defects. Measuring from the point an</w:t>
      </w:r>
      <w:r>
        <w:t xml:space="preserve"> </w:t>
      </w:r>
      <w:r>
        <w:t xml:space="preserve">upstream fixed version exists is right for a third-party advisory, because a clock started at triage</w:t>
      </w:r>
      <w:r>
        <w:t xml:space="preserve"> </w:t>
      </w:r>
      <w:r>
        <w:t xml:space="preserve">runs against something you cannot act on.</w:t>
      </w:r>
    </w:p>
    <w:p>
      <w:pPr>
        <w:pStyle w:val="BodyText"/>
      </w:pPr>
      <w:r>
        <w:t xml:space="preserve">Pick per finding class, say which, and track the waiting period itself, so an unfixable advisory is</w:t>
      </w:r>
      <w:r>
        <w:t xml:space="preserve"> </w:t>
      </w:r>
      <w:r>
        <w:t xml:space="preserve">visible rather than silently blowing a window.</w:t>
      </w:r>
    </w:p>
    <w:bookmarkStart w:id="56" w:name="what-actually-closes-a-finding"/>
    <w:p>
      <w:pPr>
        <w:pStyle w:val="Heading3"/>
      </w:pPr>
      <w:r>
        <w:t xml:space="preserve">What actually closes a finding</w:t>
      </w:r>
    </w:p>
    <w:p>
      <w:pPr>
        <w:pStyle w:val="FirstParagraph"/>
      </w:pPr>
      <w:r>
        <w:rPr>
          <w:b/>
          <w:bCs/>
        </w:rPr>
        <w:t xml:space="preserve">A finding is closed by the check that produced it going green on the commit containing the fix --</w:t>
      </w:r>
      <w:r>
        <w:rPr>
          <w:b/>
          <w:bCs/>
        </w:rPr>
        <w:t xml:space="preserve"> </w:t>
      </w:r>
      <w:r>
        <w:rPr>
          <w:b/>
          <w:bCs/>
        </w:rPr>
        <w:t xml:space="preserve">not by the fix merging, and not by a later full-suite run being green.</w:t>
      </w:r>
      <w:r>
        <w:t xml:space="preserve"> </w:t>
      </w:r>
      <w:r>
        <w:rPr>
          <w:b/>
          <w:bCs/>
        </w:rPr>
        <w:t xml:space="preserve">[prompted by: 800-53 SI-2b]</w:t>
      </w:r>
      <w:r>
        <w:t xml:space="preserve"> </w:t>
      </w:r>
      <w:r>
        <w:t xml:space="preserve">The control asks that remediation be tested for effectiveness and for</w:t>
      </w:r>
      <w:r>
        <w:t xml:space="preserve"> </w:t>
      </w:r>
      <w:r>
        <w:t xml:space="preserve">side effects before installation. Naming the originating detector as the thing that has to change its</w:t>
      </w:r>
      <w:r>
        <w:t xml:space="preserve"> </w:t>
      </w:r>
      <w:r>
        <w:t xml:space="preserve">verdict is narrower than that, and no catalog states it as a requirement -- it is this document's.</w:t>
      </w:r>
      <w:r>
        <w:t xml:space="preserve"> </w:t>
      </w:r>
      <w:r>
        <w:t xml:space="preserve">A merged fix is a change with an intention attached to it. A green suite establishes that the suite</w:t>
      </w:r>
      <w:r>
        <w:t xml:space="preserve"> </w:t>
      </w:r>
      <w:r>
        <w:t xml:space="preserve">passed; it does not establish that this finding's detector ran and changed its verdict. Those are two</w:t>
      </w:r>
      <w:r>
        <w:t xml:space="preserve"> </w:t>
      </w:r>
      <w:r>
        <w:t xml:space="preserve">different sentences, and only the second one closes anything.</w:t>
      </w:r>
    </w:p>
    <w:p>
      <w:pPr>
        <w:pStyle w:val="BodyText"/>
      </w:pPr>
      <w:r>
        <w:rPr>
          <w:b/>
          <w:bCs/>
        </w:rPr>
        <w:t xml:space="preserve">The confirming run has to be a mirror copy of the original: same check, same ruleset, same scope.</w:t>
      </w:r>
      <w:r>
        <w:t xml:space="preserve"> </w:t>
      </w:r>
      <w:r>
        <w:rPr>
          <w:b/>
          <w:bCs/>
        </w:rPr>
        <w:t xml:space="preserve">[derived: 800-115 section 8.3]</w:t>
      </w:r>
      <w:r>
        <w:t xml:space="preserve"> </w:t>
      </w:r>
      <w:r>
        <w:t xml:space="preserve">A fix confirmed by a differently-configured run has not been</w:t>
      </w:r>
      <w:r>
        <w:t xml:space="preserve"> </w:t>
      </w:r>
      <w:r>
        <w:t xml:space="preserve">confirmed. This is the failure mode section 5 already names for baselines -- zero findings on a weak</w:t>
      </w:r>
      <w:r>
        <w:t xml:space="preserve"> </w:t>
      </w:r>
      <w:r>
        <w:t xml:space="preserve">ruleset proves nothing -- applied to the closing run instead of the opening one, and it is the part</w:t>
      </w:r>
      <w:r>
        <w:t xml:space="preserve"> </w:t>
      </w:r>
      <w:r>
        <w:t xml:space="preserve">that makes a retest mean anything rather than being a second green badge.</w:t>
      </w:r>
    </w:p>
    <w:p>
      <w:pPr>
        <w:pStyle w:val="BodyText"/>
      </w:pPr>
      <w:r>
        <w:t xml:space="preserve">Record three fields per closed finding: the finding identifier, the fix commit, and the identifier of</w:t>
      </w:r>
      <w:r>
        <w:t xml:space="preserve"> </w:t>
      </w:r>
      <w:r>
        <w:t xml:space="preserve">the confirming run. The third field is the one carrying the weight, because a reviewer can resolve a</w:t>
      </w:r>
      <w:r>
        <w:t xml:space="preserve"> </w:t>
      </w:r>
      <w:r>
        <w:t xml:space="preserve">run identifier to a verdict and cannot resolve the word "fixed" to anything at all.</w:t>
      </w:r>
    </w:p>
    <w:p>
      <w:pPr>
        <w:pStyle w:val="BodyText"/>
      </w:pPr>
      <w:r>
        <w:t xml:space="preserve">Two ways this fails. Both are common enough to name rather than leave to inference.</w:t>
      </w:r>
    </w:p>
    <w:p>
      <w:pPr>
        <w:pStyle w:val="BodyText"/>
      </w:pPr>
      <w:r>
        <w:rPr>
          <w:b/>
          <w:bCs/>
        </w:rPr>
        <w:t xml:space="preserve">The fix merges and the check is never re-run</w:t>
      </w:r>
      <w:r>
        <w:t xml:space="preserve">, because the check that produced the finding only</w:t>
      </w:r>
      <w:r>
        <w:t xml:space="preserve"> </w:t>
      </w:r>
      <w:r>
        <w:t xml:space="preserve">fires on a schedule. For anything caught by a blocking check the retest is automatic by construction</w:t>
      </w:r>
      <w:r>
        <w:t xml:space="preserve"> </w:t>
      </w:r>
      <w:r>
        <w:t xml:space="preserve">and this rule costs nothing -- most of the value is simply in saying that this is what closure means.</w:t>
      </w:r>
      <w:r>
        <w:t xml:space="preserve"> </w:t>
      </w:r>
      <w:r>
        <w:t xml:space="preserve">The manual work is entirely in the scheduled and advisory jobs, which are precisely the ones nobody</w:t>
      </w:r>
      <w:r>
        <w:t xml:space="preserve"> </w:t>
      </w:r>
      <w:r>
        <w:t xml:space="preserve">re-runs on purpose.</w:t>
      </w:r>
    </w:p>
    <w:p>
      <w:pPr>
        <w:pStyle w:val="BodyText"/>
      </w:pPr>
      <w:r>
        <w:rPr>
          <w:b/>
          <w:bCs/>
        </w:rPr>
        <w:t xml:space="preserve">The finding is closed by adding a suppression.</w:t>
      </w:r>
      <w:r>
        <w:t xml:space="preserve"> </w:t>
      </w:r>
      <w:r>
        <w:t xml:space="preserve">Under section 16 a suppressed rule class is a</w:t>
      </w:r>
      <w:r>
        <w:t xml:space="preserve"> </w:t>
      </w:r>
      <w:r>
        <w:t xml:space="preserve">control that has been turned off, so a suppression routes the finding into the suppression review and</w:t>
      </w:r>
      <w:r>
        <w:t xml:space="preserve"> </w:t>
      </w:r>
      <w:r>
        <w:t xml:space="preserve">never into the closed column. Without that clause stated outright, this rule makes the closure count</w:t>
      </w:r>
      <w:r>
        <w:t xml:space="preserve"> </w:t>
      </w:r>
      <w:r>
        <w:t xml:space="preserve">look better while making the posture worse -- which is the exact species of badge the anti-metrics</w:t>
      </w:r>
      <w:r>
        <w:t xml:space="preserve"> </w:t>
      </w:r>
      <w:r>
        <w:t xml:space="preserve">table in section 5 exists to catch.</w:t>
      </w:r>
    </w:p>
    <w:p>
      <w:pPr>
        <w:pStyle w:val="BodyText"/>
      </w:pPr>
      <w:r>
        <w:t xml:space="preserve">Every finding therefore ends in exactly one of two places: closed by retest, or held under a dated</w:t>
      </w:r>
      <w:r>
        <w:t xml:space="preserve"> </w:t>
      </w:r>
      <w:r>
        <w:t xml:space="preserve">signed acceptance in section 13. A finding in neither is an open item wearing the costume of a closed</w:t>
      </w:r>
      <w:r>
        <w:t xml:space="preserve"> </w:t>
      </w:r>
      <w:r>
        <w:t xml:space="preserve">one.</w:t>
      </w:r>
    </w:p>
    <w:p>
      <w:pPr>
        <w:pStyle w:val="BodyText"/>
      </w:pPr>
      <w:r>
        <w:t xml:space="preserve">The cost is three fields in a tracker you already have, plus a re-run that was going to happen anyway,</w:t>
      </w:r>
      <w:r>
        <w:t xml:space="preserve"> </w:t>
      </w:r>
      <w:r>
        <w:t xml:space="preserve">so this adds no row to the release gate. It is</w:t>
      </w:r>
      <w:r>
        <w:t xml:space="preserve"> </w:t>
      </w:r>
      <w:r>
        <w:rPr>
          <w:i/>
          <w:iCs/>
        </w:rPr>
        <w:t xml:space="preserve">fire the failure class at the gate before crediting</w:t>
      </w:r>
      <w:r>
        <w:rPr>
          <w:i/>
          <w:iCs/>
        </w:rPr>
        <w:t xml:space="preserve"> </w:t>
      </w:r>
      <w:r>
        <w:rPr>
          <w:i/>
          <w:iCs/>
        </w:rPr>
        <w:t xml:space="preserve">its green</w:t>
      </w:r>
      <w:r>
        <w:t xml:space="preserve"> </w:t>
      </w:r>
      <w:r>
        <w:t xml:space="preserve">from section 5, applied per finding rather than per control; that section states the</w:t>
      </w:r>
      <w:r>
        <w:t xml:space="preserve"> </w:t>
      </w:r>
      <w:r>
        <w:t xml:space="preserve">relationship between the two and it is not restated here.</w:t>
      </w:r>
    </w:p>
    <w:p>
      <w:pPr>
        <w:pStyle w:val="BodyText"/>
      </w:pPr>
      <w:r>
        <w:rPr>
          <w:b/>
          <w:bCs/>
        </w:rPr>
        <w:t xml:space="preserve">Measure time-to-remediate against the windows you set.</w:t>
      </w:r>
      <w:r>
        <w:t xml:space="preserve"> </w:t>
      </w:r>
      <w:r>
        <w:rPr>
          <w:b/>
          <w:bCs/>
        </w:rPr>
        <w:t xml:space="preserve">[derived: 800-53 SI-2(3)]</w:t>
      </w:r>
      <w:r>
        <w:t xml:space="preserve"> </w:t>
      </w:r>
      <w:r>
        <w:t xml:space="preserve">Record the</w:t>
      </w:r>
      <w:r>
        <w:t xml:space="preserve"> </w:t>
      </w:r>
      <w:r>
        <w:t xml:space="preserve">identification date and the remediation date per finding, and compare the distribution against your</w:t>
      </w:r>
      <w:r>
        <w:t xml:space="preserve"> </w:t>
      </w:r>
      <w:r>
        <w:t xml:space="preserve">stated windows the next time you set them. A window you have never measured against is a number you</w:t>
      </w:r>
      <w:r>
        <w:t xml:space="preserve"> </w:t>
      </w:r>
      <w:r>
        <w:t xml:space="preserve">picked, and this document already forbids treating a picked number as a threshold -- so whatever the</w:t>
      </w:r>
      <w:r>
        <w:t xml:space="preserve"> </w:t>
      </w:r>
      <w:r>
        <w:t xml:space="preserve">data suggests, the resulting window stays labelled project-set and directional. This is also where the</w:t>
      </w:r>
      <w:r>
        <w:t xml:space="preserve"> </w:t>
      </w:r>
      <w:r>
        <w:t xml:space="preserve">waiting period on an unfixable upstream advisory finally gets recorded, rather than being a discipline</w:t>
      </w:r>
      <w:r>
        <w:t xml:space="preserve"> </w:t>
      </w:r>
      <w:r>
        <w:t xml:space="preserve">with nowhere to live.</w:t>
      </w:r>
    </w:p>
    <w:bookmarkEnd w:id="56"/>
    <w:bookmarkStart w:id="58" w:name="X8d72319090a80d3626098f71df57004d8b137c9"/>
    <w:p>
      <w:pPr>
        <w:pStyle w:val="Heading3"/>
      </w:pPr>
      <w:r>
        <w:t xml:space="preserve">The producer half: an intake a reporter can find, and an advisory a tool can read</w:t>
      </w:r>
    </w:p>
    <w:p>
      <w:pPr>
        <w:pStyle w:val="FirstParagraph"/>
      </w:pPr>
      <w:r>
        <w:t xml:space="preserve">Section 1's split already puts vulnerability response and disclosure in the producing project's column,</w:t>
      </w:r>
      <w:r>
        <w:t xml:space="preserve"> </w:t>
      </w:r>
      <w:r>
        <w:t xml:space="preserve">opposite monitoring, patching and incident response in the operating organization's. The right-hand</w:t>
      </w:r>
      <w:r>
        <w:t xml:space="preserve"> </w:t>
      </w:r>
      <w:r>
        <w:t xml:space="preserve">half is written down. The left-hand half is the list at the top of this section, and that list says the</w:t>
      </w:r>
      <w:r>
        <w:t xml:space="preserve"> </w:t>
      </w:r>
      <w:r>
        <w:t xml:space="preserve">machinery must exist without saying what a reporter or an adopter ever sees of it. Three things are</w:t>
      </w:r>
      <w:r>
        <w:t xml:space="preserve"> </w:t>
      </w:r>
      <w:r>
        <w:t xml:space="preserve">what they actually encounter, and two more are decisions that show from outside only by never having</w:t>
      </w:r>
      <w:r>
        <w:t xml:space="preserve"> </w:t>
      </w:r>
      <w:r>
        <w:t xml:space="preserve">been made.</w:t>
      </w:r>
    </w:p>
    <w:p>
      <w:pPr>
        <w:pStyle w:val="BodyText"/>
      </w:pPr>
      <w:r>
        <w:rPr>
          <w:b/>
          <w:bCs/>
        </w:rPr>
        <w:t xml:space="preserve">Publish the address of the private intake channel where a reporter will look, and state what happens</w:t>
      </w:r>
      <w:r>
        <w:rPr>
          <w:b/>
          <w:bCs/>
        </w:rPr>
        <w:t xml:space="preserve"> </w:t>
      </w:r>
      <w:r>
        <w:rPr>
          <w:b/>
          <w:bCs/>
        </w:rPr>
        <w:t xml:space="preserve">next.</w:t>
      </w:r>
      <w:r>
        <w:t xml:space="preserve"> </w:t>
      </w:r>
      <w:r>
        <w:t xml:space="preserve">What is published is where to send a report, never the reports: the channel stays confidential,</w:t>
      </w:r>
      <w:r>
        <w:t xml:space="preserve"> </w:t>
      </w:r>
      <w:r>
        <w:t xml:space="preserve">per the list above, and only its address and its terms are public. A security</w:t>
      </w:r>
      <w:r>
        <w:t xml:space="preserve"> </w:t>
      </w:r>
      <w:r>
        <w:t xml:space="preserve">contact at a documented address, a policy file in the repository where the source host surfaces it, and</w:t>
      </w:r>
      <w:r>
        <w:t xml:space="preserve"> </w:t>
      </w:r>
      <w:r>
        <w:t xml:space="preserve">a stated acknowledgment time. Say what you will not do in the same place -- no payment, no bounty, no</w:t>
      </w:r>
      <w:r>
        <w:t xml:space="preserve"> </w:t>
      </w:r>
      <w:r>
        <w:t xml:space="preserve">timeline beyond the bands, and whether a reporter is credited -- because an unstated expectation is</w:t>
      </w:r>
      <w:r>
        <w:t xml:space="preserve"> </w:t>
      </w:r>
      <w:r>
        <w:t xml:space="preserve">where a coordinated report becomes a public one. Requiring an account, a login or a form to file is the</w:t>
      </w:r>
      <w:r>
        <w:t xml:space="preserve"> </w:t>
      </w:r>
      <w:r>
        <w:t xml:space="preserve">same defect as an unmonitored address: a channel that exists and does not work. The dry run in the list</w:t>
      </w:r>
      <w:r>
        <w:t xml:space="preserve"> </w:t>
      </w:r>
      <w:r>
        <w:t xml:space="preserve">above is the only thing that establishes it does.</w:t>
      </w:r>
    </w:p>
    <w:p>
      <w:pPr>
        <w:pStyle w:val="BodyText"/>
      </w:pPr>
      <w:r>
        <w:rPr>
          <w:b/>
          <w:bCs/>
        </w:rPr>
        <w:t xml:space="preserve">Publish the windows with the clock start next to each one.</w:t>
      </w:r>
      <w:r>
        <w:t xml:space="preserve"> </w:t>
      </w:r>
      <w:r>
        <w:t xml:space="preserve">The bands are required above, and so is</w:t>
      </w:r>
      <w:r>
        <w:t xml:space="preserve"> </w:t>
      </w:r>
      <w:r>
        <w:t xml:space="preserve">stating where the clock starts; the addition is that the published version carries both, because a</w:t>
      </w:r>
      <w:r>
        <w:t xml:space="preserve"> </w:t>
      </w:r>
      <w:r>
        <w:t xml:space="preserve">window whose start point is unstated cannot be missed and is therefore not a commitment. Label them</w:t>
      </w:r>
      <w:r>
        <w:t xml:space="preserve"> </w:t>
      </w:r>
      <w:r>
        <w:t xml:space="preserve">project-set, per this document's position that no framework supplies a validated number.</w:t>
      </w:r>
    </w:p>
    <w:p>
      <w:pPr>
        <w:pStyle w:val="BodyText"/>
      </w:pPr>
      <w:r>
        <w:rPr>
          <w:b/>
          <w:bCs/>
        </w:rPr>
        <w:t xml:space="preserve">Ship an advisory per fixed vulnerability, on a channel machines read.</w:t>
      </w:r>
      <w:r>
        <w:t xml:space="preserve"> </w:t>
      </w:r>
      <w:r>
        <w:t xml:space="preserve">A changelog line is not an</w:t>
      </w:r>
      <w:r>
        <w:t xml:space="preserve"> </w:t>
      </w:r>
      <w:r>
        <w:t xml:space="preserve">advisory. Nothing in an adopter's tooling reads prose, so a fix announced only that way reaches the</w:t>
      </w:r>
      <w:r>
        <w:t xml:space="preserve"> </w:t>
      </w:r>
      <w:r>
        <w:t xml:space="preserve">adopters who happened to be reading. Publish at least the affected versions and the fixed version, the</w:t>
      </w:r>
      <w:r>
        <w:t xml:space="preserve"> </w:t>
      </w:r>
      <w:r>
        <w:t xml:space="preserve">impact in one sentence, whether a configuration change mitigates it without upgrading, and a stable</w:t>
      </w:r>
      <w:r>
        <w:t xml:space="preserve"> </w:t>
      </w:r>
      <w:r>
        <w:t xml:space="preserve">identifier. Where the ecosystem has a public advisory database or an identifier authority, file there</w:t>
      </w:r>
      <w:r>
        <w:t xml:space="preserve"> </w:t>
      </w:r>
      <w:r>
        <w:t xml:space="preserve">too: that is the step that puts the entry into the feeds a blocking dependency audit consumes, and</w:t>
      </w:r>
      <w:r>
        <w:t xml:space="preserve"> </w:t>
      </w:r>
      <w:hyperlink r:id="rId57">
        <w:r>
          <w:rPr>
            <w:rStyle w:val="Hyperlink"/>
          </w:rPr>
          <w:t xml:space="preserve">dependency and artifact integrity</w:t>
        </w:r>
      </w:hyperlink>
      <w:r>
        <w:t xml:space="preserve"> </w:t>
      </w:r>
      <w:r>
        <w:t xml:space="preserve">covers that consuming half in full.</w:t>
      </w:r>
      <w:r>
        <w:t xml:space="preserve"> </w:t>
      </w:r>
      <w:r>
        <w:t xml:space="preserve">Issuing one is the same act seen from the producing end, and the asymmetry is worth naming, because it</w:t>
      </w:r>
      <w:r>
        <w:t xml:space="preserve"> </w:t>
      </w:r>
      <w:r>
        <w:t xml:space="preserve">is the common state: a project can be rigorous about every advisory it reads and have never written</w:t>
      </w:r>
      <w:r>
        <w:t xml:space="preserve"> </w:t>
      </w:r>
      <w:r>
        <w:t xml:space="preserve">one.</w:t>
      </w:r>
    </w:p>
    <w:p>
      <w:pPr>
        <w:pStyle w:val="BodyText"/>
      </w:pPr>
      <w:r>
        <w:rPr>
          <w:b/>
          <w:bCs/>
        </w:rPr>
        <w:t xml:space="preserve">Decide the threshold for what gets an advisory, and write it down.</w:t>
      </w:r>
      <w:r>
        <w:t xml:space="preserve"> </w:t>
      </w:r>
      <w:r>
        <w:t xml:space="preserve">Not every security-relevant fix</w:t>
      </w:r>
      <w:r>
        <w:t xml:space="preserve"> </w:t>
      </w:r>
      <w:r>
        <w:t xml:space="preserve">warrants one. A project that has issued none has usually never decided rather than decided not to, and</w:t>
      </w:r>
      <w:r>
        <w:t xml:space="preserve"> </w:t>
      </w:r>
      <w:r>
        <w:t xml:space="preserve">those two look identical from outside.</w:t>
      </w:r>
    </w:p>
    <w:p>
      <w:pPr>
        <w:pStyle w:val="BodyText"/>
      </w:pPr>
      <w:r>
        <w:rPr>
          <w:b/>
          <w:bCs/>
        </w:rPr>
        <w:t xml:space="preserve">Set a maximum embargo, so coordinated does not become indefinite.</w:t>
      </w:r>
      <w:r>
        <w:t xml:space="preserve"> </w:t>
      </w:r>
      <w:r>
        <w:t xml:space="preserve">Disclosure after a fix exists is</w:t>
      </w:r>
      <w:r>
        <w:t xml:space="preserve"> </w:t>
      </w:r>
      <w:r>
        <w:t xml:space="preserve">already required above; what it leaves open is the fix that never quite lands and the report that is</w:t>
      </w:r>
      <w:r>
        <w:t xml:space="preserve"> </w:t>
      </w:r>
      <w:r>
        <w:t xml:space="preserve">therefore never published, which is section 13's permanent-excuse shape in different clothes. State the</w:t>
      </w:r>
      <w:r>
        <w:t xml:space="preserve"> </w:t>
      </w:r>
      <w:r>
        <w:t xml:space="preserve">point at which you publish with or without a fix, including the mitigation if that is all there is.</w:t>
      </w:r>
    </w:p>
    <w:p>
      <w:pPr>
        <w:pStyle w:val="BodyText"/>
      </w:pPr>
      <w:r>
        <w:t xml:space="preserve">Two honest limits.</w:t>
      </w:r>
      <w:r>
        <w:t xml:space="preserve"> </w:t>
      </w:r>
      <w:r>
        <w:rPr>
          <w:b/>
          <w:bCs/>
        </w:rPr>
        <w:t xml:space="preserve">An advisory tells an adopter a fix exists. It does not deploy it.</w:t>
      </w:r>
      <w:r>
        <w:t xml:space="preserve"> </w:t>
      </w:r>
      <w:r>
        <w:t xml:space="preserve">Released is not</w:t>
      </w:r>
      <w:r>
        <w:t xml:space="preserve"> </w:t>
      </w:r>
      <w:r>
        <w:t xml:space="preserve">deployed, deploying is the right-hand column of section 1's table, and writing the advisory as though</w:t>
      </w:r>
      <w:r>
        <w:t xml:space="preserve"> </w:t>
      </w:r>
      <w:r>
        <w:t xml:space="preserve">issuing it discharged anything over there is the over-reach that table exists to prevent. And</w:t>
      </w:r>
      <w:r>
        <w:t xml:space="preserve"> </w:t>
      </w:r>
      <w:r>
        <w:rPr>
          <w:b/>
          <w:bCs/>
        </w:rPr>
        <w:t xml:space="preserve">this is</w:t>
      </w:r>
      <w:r>
        <w:rPr>
          <w:b/>
          <w:bCs/>
        </w:rPr>
        <w:t xml:space="preserve"> </w:t>
      </w:r>
      <w:r>
        <w:rPr>
          <w:b/>
          <w:bCs/>
        </w:rPr>
        <w:t xml:space="preserve">a producer's disclosure path, not an incident response program.</w:t>
      </w:r>
      <w:r>
        <w:t xml:space="preserve"> </w:t>
      </w:r>
      <w:r>
        <w:t xml:space="preserve">Incidents are generated by running</w:t>
      </w:r>
      <w:r>
        <w:t xml:space="preserve"> </w:t>
      </w:r>
      <w:r>
        <w:t xml:space="preserve">the software; the coverage table below records the catalog's incident-response family as not addressed</w:t>
      </w:r>
      <w:r>
        <w:t xml:space="preserve"> </w:t>
      </w:r>
      <w:r>
        <w:t xml:space="preserve">here and gives the reason, and nothing in this subsection changes it.</w:t>
      </w:r>
    </w:p>
    <w:p>
      <w:pPr>
        <w:pStyle w:val="BodyText"/>
      </w:pPr>
      <w:r>
        <w:t xml:space="preserve">Normative force: published artifacts and a stated policy, recommended. The end-to-end dry run that</w:t>
      </w:r>
      <w:r>
        <w:t xml:space="preserve"> </w:t>
      </w:r>
      <w:r>
        <w:t xml:space="preserve">already has to happen once is where this gets exercised -- file a test report into the intake, take a</w:t>
      </w:r>
      <w:r>
        <w:t xml:space="preserve"> </w:t>
      </w:r>
      <w:r>
        <w:t xml:space="preserve">test advisory through the announce path -- so it adds no second rehearsal and no row to the release</w:t>
      </w:r>
      <w:r>
        <w:t xml:space="preserve"> </w:t>
      </w:r>
      <w:r>
        <w:t xml:space="preserve">gate in section 16.</w:t>
      </w:r>
    </w:p>
    <w:p>
      <w:r>
        <w:pict>
          <v:rect style="width:0;height:1.5pt" o:hralign="center" o:hrstd="t" o:hr="t"/>
        </w:pict>
      </w:r>
    </w:p>
    <w:bookmarkEnd w:id="58"/>
    <w:bookmarkEnd w:id="59"/>
    <w:bookmarkStart w:id="60" w:name="X2e76d4b347a06a9540373165195f11ae36f497b"/>
    <w:p>
      <w:pPr>
        <w:pStyle w:val="Heading2"/>
      </w:pPr>
      <w:r>
        <w:t xml:space="preserve">13. Deviations and risk acceptance</w:t>
      </w:r>
    </w:p>
    <w:p>
      <w:pPr>
        <w:pStyle w:val="FirstParagraph"/>
      </w:pPr>
      <w:r>
        <w:t xml:space="preserve">Where current practice differs from what the standard requires, write the deviation down rather than</w:t>
      </w:r>
      <w:r>
        <w:t xml:space="preserve"> </w:t>
      </w:r>
      <w:r>
        <w:t xml:space="preserve">quietly redefining the requirement. Each entry carries four fields: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Why</w:t>
            </w:r>
          </w:p>
        </w:tc>
      </w:tr>
      <w:tr>
        <w:tc>
          <w:tcPr/>
          <w:p>
            <w:pPr>
              <w:pStyle w:val="Compact"/>
            </w:pPr>
            <w:r>
              <w:t xml:space="preserve">The control not met, and the date the risk was accepted</w:t>
            </w:r>
          </w:p>
        </w:tc>
        <w:tc>
          <w:tcPr/>
          <w:p>
            <w:pPr>
              <w:pStyle w:val="Compact"/>
            </w:pPr>
            <w:r>
              <w:t xml:space="preserve">An undated deviation cannot be aged</w:t>
            </w:r>
          </w:p>
        </w:tc>
      </w:tr>
      <w:tr>
        <w:tc>
          <w:tcPr/>
          <w:p>
            <w:pPr>
              <w:pStyle w:val="Compact"/>
            </w:pPr>
            <w:r>
              <w:t xml:space="preserve">The compensating controls actually in force</w:t>
            </w:r>
          </w:p>
        </w:tc>
        <w:tc>
          <w:tcPr/>
          <w:p>
            <w:pPr>
              <w:pStyle w:val="Compact"/>
            </w:pPr>
            <w:r>
              <w:t xml:space="preserve">Distinguishes a decision from a gap</w:t>
            </w:r>
          </w:p>
        </w:tc>
      </w:tr>
      <w:tr>
        <w:tc>
          <w:tcPr/>
          <w:p>
            <w:pPr>
              <w:pStyle w:val="Compact"/>
            </w:pPr>
            <w:r>
              <w:t xml:space="preserve">The trigger that ends it</w:t>
            </w:r>
          </w:p>
        </w:tc>
        <w:tc>
          <w:tcPr/>
          <w:p>
            <w:pPr>
              <w:pStyle w:val="Compact"/>
            </w:pPr>
            <w:r>
              <w:t xml:space="preserve">A deviation with no trigger is a permanent excuse</w:t>
            </w:r>
          </w:p>
        </w:tc>
      </w:tr>
      <w:tr>
        <w:tc>
          <w:tcPr/>
          <w:p>
            <w:pPr>
              <w:pStyle w:val="Compact"/>
            </w:pPr>
            <w:r>
              <w:t xml:space="preserve">A pointer to where the intended shape is written down</w:t>
            </w:r>
          </w:p>
        </w:tc>
        <w:tc>
          <w:tcPr/>
          <w:p>
            <w:pPr>
              <w:pStyle w:val="Compact"/>
            </w:pPr>
            <w:r>
              <w:t xml:space="preserve">So the fix is designed, not improvised later</w:t>
            </w:r>
          </w:p>
        </w:tc>
      </w:tr>
    </w:tbl>
    <w:p>
      <w:pPr>
        <w:pStyle w:val="BodyText"/>
      </w:pPr>
      <w:r>
        <w:rPr>
          <w:b/>
          <w:bCs/>
        </w:rPr>
        <w:t xml:space="preserve">Only a dated, signed acceptance is governance.</w:t>
      </w:r>
      <w:r>
        <w:t xml:space="preserve"> </w:t>
      </w:r>
      <w:r>
        <w:t xml:space="preserve">A register of accepted risks is not, on its own. An</w:t>
      </w:r>
      <w:r>
        <w:t xml:space="preserve"> </w:t>
      </w:r>
      <w:r>
        <w:t xml:space="preserve">unsigned acceptance is an un-accepted open gap wearing the costume of a decision, and a release gate</w:t>
      </w:r>
      <w:r>
        <w:t xml:space="preserve"> </w:t>
      </w:r>
      <w:r>
        <w:t xml:space="preserve">that leans on one is not a gate.</w:t>
      </w:r>
    </w:p>
    <w:p>
      <w:pPr>
        <w:pStyle w:val="BodyText"/>
      </w:pPr>
      <w:r>
        <w:rPr>
          <w:b/>
          <w:bCs/>
        </w:rPr>
        <w:t xml:space="preserve">Publish the rule, not the inventory.</w:t>
      </w:r>
      <w:r>
        <w:t xml:space="preserve"> </w:t>
      </w:r>
      <w:r>
        <w:t xml:space="preserve">A register enumerating which controls are currently absent,</w:t>
      </w:r>
      <w:r>
        <w:t xml:space="preserve"> </w:t>
      </w:r>
      <w:r>
        <w:t xml:space="preserve">which are off by default, and what is holding each one safe is an operational document with a narrow</w:t>
      </w:r>
      <w:r>
        <w:t xml:space="preserve"> </w:t>
      </w:r>
      <w:r>
        <w:t xml:space="preserve">audience. Keep it. Do not publish it, and do not reconstruct it in generalized form -- a generalized</w:t>
      </w:r>
      <w:r>
        <w:t xml:space="preserve"> </w:t>
      </w:r>
      <w:r>
        <w:t xml:space="preserve">list of the places a class of software is typically weak is the same artifact with the names filed</w:t>
      </w:r>
      <w:r>
        <w:t xml:space="preserve"> </w:t>
      </w:r>
      <w:r>
        <w:t xml:space="preserve">off.</w:t>
      </w:r>
    </w:p>
    <w:p>
      <w:pPr>
        <w:pStyle w:val="BodyText"/>
      </w:pPr>
      <w:r>
        <w:rPr>
          <w:b/>
          <w:bCs/>
        </w:rPr>
        <w:t xml:space="preserve">Mark added practices as recommended, and say they add no blocking gate.</w:t>
      </w:r>
      <w:r>
        <w:t xml:space="preserve"> </w:t>
      </w:r>
      <w:r>
        <w:t xml:space="preserve">When you grow a standard,</w:t>
      </w:r>
      <w:r>
        <w:t xml:space="preserve"> </w:t>
      </w:r>
      <w:r>
        <w:t xml:space="preserve">state each addition's normative force explicitly and say in the same paragraph that it introduces no</w:t>
      </w:r>
      <w:r>
        <w:t xml:space="preserve"> </w:t>
      </w:r>
      <w:r>
        <w:t xml:space="preserve">new blocking release gate and weakens no existing requirement. Additions without that marking either</w:t>
      </w:r>
      <w:r>
        <w:t xml:space="preserve"> </w:t>
      </w:r>
      <w:r>
        <w:t xml:space="preserve">get treated as mandatory and stall adoption, or get ignored and quietly hollow out the document.</w:t>
      </w:r>
    </w:p>
    <w:p>
      <w:r>
        <w:pict>
          <v:rect style="width:0;height:1.5pt" o:hralign="center" o:hrstd="t" o:hr="t"/>
        </w:pict>
      </w:r>
    </w:p>
    <w:bookmarkEnd w:id="60"/>
    <w:bookmarkStart w:id="61" w:name="X81f17fbbfa4ed8bd23a7201a27e52cc85d71859"/>
    <w:p>
      <w:pPr>
        <w:pStyle w:val="Heading2"/>
      </w:pPr>
      <w:r>
        <w:t xml:space="preserve">14. Re-evaluate on a trigger, and on a short calendar for what has no trigger</w:t>
      </w:r>
    </w:p>
    <w:p>
      <w:pPr>
        <w:pStyle w:val="FirstParagraph"/>
      </w:pPr>
      <w:r>
        <w:t xml:space="preserve">Every gate in this document is release-triggered. A project that ships nothing for a year runs no</w:t>
      </w:r>
      <w:r>
        <w:t xml:space="preserve"> </w:t>
      </w:r>
      <w:r>
        <w:t xml:space="preserve">security review in that year, and three of the ways a control degrades to nothing leave no trace a</w:t>
      </w:r>
      <w:r>
        <w:t xml:space="preserve"> </w:t>
      </w:r>
      <w:r>
        <w:t xml:space="preserve">per-change gate would ever see: a suppression added, a job flipped from blocking to advisory, and a</w:t>
      </w:r>
      <w:r>
        <w:t xml:space="preserve"> </w:t>
      </w:r>
      <w:r>
        <w:t xml:space="preserve">deviation whose ending trigger fired while its compensating control quietly became the permanent</w:t>
      </w:r>
      <w:r>
        <w:t xml:space="preserve"> </w:t>
      </w:r>
      <w:r>
        <w:t xml:space="preserve">state.</w:t>
      </w:r>
    </w:p>
    <w:p>
      <w:pPr>
        <w:pStyle w:val="BodyText"/>
      </w:pPr>
      <w:r>
        <w:rPr>
          <w:b/>
          <w:bCs/>
        </w:rPr>
        <w:t xml:space="preserve">Run a recurring pass on a stated cadence.</w:t>
      </w:r>
      <w:r>
        <w:t xml:space="preserve"> </w:t>
      </w:r>
      <w:r>
        <w:rPr>
          <w:b/>
          <w:bCs/>
        </w:rPr>
        <w:t xml:space="preserve">[derived: 800-53 CA-7b]</w:t>
      </w:r>
      <w:r>
        <w:t xml:space="preserve"> </w:t>
      </w:r>
      <w:r>
        <w:t xml:space="preserve">It does exactly four things,</w:t>
      </w:r>
      <w:r>
        <w:t xml:space="preserve"> </w:t>
      </w:r>
      <w:r>
        <w:t xml:space="preserve">and the count is a cap of this document's own rather than anything the catalog asks for:</w:t>
      </w:r>
    </w:p>
    <w:p>
      <w:pPr>
        <w:pStyle w:val="Compact"/>
        <w:numPr>
          <w:ilvl w:val="0"/>
          <w:numId w:val="1015"/>
        </w:numPr>
      </w:pPr>
      <w:r>
        <w:t xml:space="preserve">Sweep the deviations register for entries whose ending trigger has already fired, and for entries</w:t>
      </w:r>
      <w:r>
        <w:t xml:space="preserve"> </w:t>
      </w:r>
      <w:r>
        <w:t xml:space="preserve">not reviewed since the last pass.</w:t>
      </w:r>
    </w:p>
    <w:p>
      <w:pPr>
        <w:pStyle w:val="Compact"/>
        <w:numPr>
          <w:ilvl w:val="0"/>
          <w:numId w:val="1015"/>
        </w:numPr>
      </w:pPr>
      <w:r>
        <w:t xml:space="preserve">Re-confirm from the blocking-job list, not from a badge, that every check in the unwaivable set</w:t>
      </w:r>
      <w:r>
        <w:t xml:space="preserve"> </w:t>
      </w:r>
      <w:r>
        <w:t xml:space="preserve">still blocks.</w:t>
      </w:r>
    </w:p>
    <w:p>
      <w:pPr>
        <w:pStyle w:val="Compact"/>
        <w:numPr>
          <w:ilvl w:val="0"/>
          <w:numId w:val="1015"/>
        </w:numPr>
      </w:pPr>
      <w:r>
        <w:t xml:space="preserve">Confirm the scanner suppression list has not grown unreviewed.</w:t>
      </w:r>
    </w:p>
    <w:p>
      <w:pPr>
        <w:pStyle w:val="Compact"/>
        <w:numPr>
          <w:ilvl w:val="0"/>
          <w:numId w:val="1015"/>
        </w:numPr>
      </w:pPr>
      <w:r>
        <w:t xml:space="preserve">Check whether a trust boundary now exists with no threat model.</w:t>
      </w:r>
    </w:p>
    <w:p>
      <w:pPr>
        <w:pStyle w:val="FirstParagraph"/>
      </w:pPr>
      <w:r>
        <w:t xml:space="preserve">Set the cadence yourself and label it project-set, consistent with this document's position that no</w:t>
      </w:r>
      <w:r>
        <w:t xml:space="preserve"> </w:t>
      </w:r>
      <w:r>
        <w:t xml:space="preserve">framework supplies a validated threshold. The evidence is a dated entry per pass recording what was</w:t>
      </w:r>
      <w:r>
        <w:t xml:space="preserve"> </w:t>
      </w:r>
      <w:r>
        <w:t xml:space="preserve">checked and what changed, which is also what gives the deviations register the ageing it needs to be</w:t>
      </w:r>
      <w:r>
        <w:t xml:space="preserve"> </w:t>
      </w:r>
      <w:r>
        <w:t xml:space="preserve">more than a list.</w:t>
      </w:r>
    </w:p>
    <w:p>
      <w:pPr>
        <w:pStyle w:val="BodyText"/>
      </w:pPr>
      <w:r>
        <w:rPr>
          <w:b/>
          <w:bCs/>
        </w:rPr>
        <w:t xml:space="preserve">Hold it to four.</w:t>
      </w:r>
      <w:r>
        <w:t xml:space="preserve"> </w:t>
      </w:r>
      <w:r>
        <w:t xml:space="preserve">A periodic pass in a small team dies by growing. Somebody adds a fifth item and a</w:t>
      </w:r>
      <w:r>
        <w:t xml:space="preserve"> </w:t>
      </w:r>
      <w:r>
        <w:t xml:space="preserve">sixth, the pass stops being run, and an unrun scheduled control is worse than an absent one because it</w:t>
      </w:r>
      <w:r>
        <w:t xml:space="preserve"> </w:t>
      </w:r>
      <w:r>
        <w:t xml:space="preserve">still looks green from outside. The cadences named elsewhere -- the principal enumeration and the</w:t>
      </w:r>
      <w:r>
        <w:t xml:space="preserve"> </w:t>
      </w:r>
      <w:r>
        <w:t xml:space="preserve">pinned tool set in section 10 -- are their own schedules against their own artifacts, and folding them</w:t>
      </w:r>
      <w:r>
        <w:t xml:space="preserve"> </w:t>
      </w:r>
      <w:r>
        <w:t xml:space="preserve">in here is the growth this rule exists to forbid.</w:t>
      </w:r>
    </w:p>
    <w:p>
      <w:pPr>
        <w:pStyle w:val="BodyText"/>
      </w:pPr>
      <w:r>
        <w:rPr>
          <w:b/>
          <w:bCs/>
        </w:rPr>
        <w:t xml:space="preserve">Prefer an event trigger to the calendar wherever an event exists.</w:t>
      </w:r>
      <w:r>
        <w:t xml:space="preserve"> </w:t>
      </w:r>
      <w:r>
        <w:t xml:space="preserve">A trigger tied to a change fires</w:t>
      </w:r>
      <w:r>
        <w:t xml:space="preserve"> </w:t>
      </w:r>
      <w:r>
        <w:t xml:space="preserve">when the answer actually changed, and leaves the diff as its own evidence; a calendar reminder is the</w:t>
      </w:r>
      <w:r>
        <w:t xml:space="preserve"> </w:t>
      </w:r>
      <w:r>
        <w:t xml:space="preserve">first thing dropped in a busy month. The data-class table in section 1 is the clearest case, which is</w:t>
      </w:r>
      <w:r>
        <w:t xml:space="preserve"> </w:t>
      </w:r>
      <w:r>
        <w:t xml:space="preserve">why it is event-triggered rather than a fifth item here: it is amended when a change adds a data</w:t>
      </w:r>
      <w:r>
        <w:t xml:space="preserve"> </w:t>
      </w:r>
      <w:r>
        <w:t xml:space="preserve">class, gives an existing class a new resting place, or adds a boundary. Section 16's gate carries the</w:t>
      </w:r>
      <w:r>
        <w:t xml:space="preserve"> </w:t>
      </w:r>
      <w:r>
        <w:t xml:space="preserve">matching row.</w:t>
      </w:r>
    </w:p>
    <w:p>
      <w:pPr>
        <w:pStyle w:val="BodyText"/>
      </w:pPr>
      <w:r>
        <w:t xml:space="preserve">State the normative force plainly, because it is not uniform across this section. The four-item pass</w:t>
      </w:r>
      <w:r>
        <w:t xml:space="preserve"> </w:t>
      </w:r>
      <w:r>
        <w:t xml:space="preserve">is a recurring practice and blocks nothing. The event trigger on the data-class table does add one row</w:t>
      </w:r>
      <w:r>
        <w:t xml:space="preserve"> </w:t>
      </w:r>
      <w:r>
        <w:t xml:space="preserve">to the release gate in section 16 -- the only new gate row this material introduces -- and it is a row</w:t>
      </w:r>
      <w:r>
        <w:t xml:space="preserve"> </w:t>
      </w:r>
      <w:r>
        <w:t xml:space="preserve">answerable from a diff rather than from a judgment.</w:t>
      </w:r>
    </w:p>
    <w:p>
      <w:r>
        <w:pict>
          <v:rect style="width:0;height:1.5pt" o:hralign="center" o:hrstd="t" o:hr="t"/>
        </w:pict>
      </w:r>
    </w:p>
    <w:bookmarkEnd w:id="61"/>
    <w:bookmarkStart w:id="64" w:name="X635127d1d4d4de93cff91f98240bebbfa4bd556"/>
    <w:p>
      <w:pPr>
        <w:pStyle w:val="Heading2"/>
      </w:pPr>
      <w:r>
        <w:t xml:space="preserve">15. Independent external verification</w:t>
      </w:r>
    </w:p>
    <w:p>
      <w:pPr>
        <w:pStyle w:val="FirstParagraph"/>
      </w:pPr>
      <w:r>
        <w:rPr>
          <w:b/>
          <w:bCs/>
        </w:rPr>
        <w:t xml:space="preserve">Third-party source review and penetration testing are the only controls an internally-run pipeline</w:t>
      </w:r>
      <w:r>
        <w:rPr>
          <w:b/>
          <w:bCs/>
        </w:rPr>
        <w:t xml:space="preserve"> </w:t>
      </w:r>
      <w:r>
        <w:rPr>
          <w:b/>
          <w:bCs/>
        </w:rPr>
        <w:t xml:space="preserve">cannot substitute for.</w:t>
      </w:r>
      <w:r>
        <w:t xml:space="preserve"> </w:t>
      </w:r>
      <w:r>
        <w:rPr>
          <w:b/>
          <w:bCs/>
        </w:rPr>
        <w:t xml:space="preserve">[prompted by: 800-53 CA-8(1)]</w:t>
      </w:r>
      <w:r>
        <w:t xml:space="preserve"> </w:t>
      </w:r>
      <w:r>
        <w:t xml:space="preserve">Their absence caps what you can honestly</w:t>
      </w:r>
      <w:r>
        <w:t xml:space="preserve"> </w:t>
      </w:r>
      <w:r>
        <w:t xml:space="preserve">claim, no matter how good the automated layer is.</w:t>
      </w:r>
    </w:p>
    <w:p>
      <w:pPr>
        <w:pStyle w:val="BodyText"/>
      </w:pPr>
      <w:r>
        <w:t xml:space="preserve">Dynamic testing was named in that sentence in an earlier version of this material, and has been</w:t>
      </w:r>
      <w:r>
        <w:t xml:space="preserve"> </w:t>
      </w:r>
      <w:r>
        <w:t xml:space="preserve">removed from it. That was wrong, and it mattered: it let a reader believe dynamic testing was</w:t>
      </w:r>
      <w:r>
        <w:t xml:space="preserve"> </w:t>
      </w:r>
      <w:r>
        <w:t xml:space="preserve">unavailable without funding. A developer-run malformed-input harness costs runner minutes rather than</w:t>
      </w:r>
      <w:r>
        <w:t xml:space="preserve"> </w:t>
      </w:r>
      <w:r>
        <w:t xml:space="preserve">money, section 2 describes it, and section 5 says when it runs. It is weaker than an external</w:t>
      </w:r>
      <w:r>
        <w:t xml:space="preserve"> </w:t>
      </w:r>
      <w:r>
        <w:t xml:space="preserve">engagement, not out of reach without one, and both halves of that go in together.</w:t>
      </w:r>
    </w:p>
    <w:bookmarkStart w:id="63" w:name="X8b98e4f88d127ae6f6acda887bb5aa503179c3d"/>
    <w:p>
      <w:pPr>
        <w:pStyle w:val="Heading3"/>
      </w:pPr>
      <w:r>
        <w:t xml:space="preserve">Write the engagement down before it starts</w:t>
      </w:r>
    </w:p>
    <w:p>
      <w:pPr>
        <w:pStyle w:val="FirstParagraph"/>
      </w:pPr>
      <w:r>
        <w:rPr>
          <w:b/>
          <w:bCs/>
        </w:rPr>
        <w:t xml:space="preserve">Scope the engagement in writing, and have it reviewed and approved before work begins.</w:t>
      </w:r>
      <w:r>
        <w:t xml:space="preserve"> </w:t>
      </w:r>
      <w:r>
        <w:rPr>
          <w:b/>
          <w:bCs/>
        </w:rPr>
        <w:t xml:space="preserve">[derived: 800-53 CA-2b, CA-2c]</w:t>
      </w:r>
      <w:r>
        <w:t xml:space="preserve"> </w:t>
      </w:r>
      <w:r>
        <w:t xml:space="preserve">The plan names what is under assessment, the procedures to be used</w:t>
      </w:r>
      <w:r>
        <w:t xml:space="preserve"> </w:t>
      </w:r>
      <w:r>
        <w:t xml:space="preserve">to determine whether a control is effective, and the environment, the team and the roles. The ordering</w:t>
      </w:r>
      <w:r>
        <w:t xml:space="preserve"> </w:t>
      </w:r>
      <w:r>
        <w:t xml:space="preserve">is part of the requirement rather than a nicety: approved prior to conducting, not written up</w:t>
      </w:r>
      <w:r>
        <w:t xml:space="preserve"> </w:t>
      </w:r>
      <w:r>
        <w:t xml:space="preserve">afterwards from what happened.</w:t>
      </w:r>
    </w:p>
    <w:p>
      <w:pPr>
        <w:pStyle w:val="BodyText"/>
      </w:pPr>
      <w:r>
        <w:rPr>
          <w:b/>
          <w:bCs/>
        </w:rPr>
        <w:t xml:space="preserve">Agree the rules of engagement with the other side, countersigned, before testing commences.</w:t>
      </w:r>
      <w:r>
        <w:t xml:space="preserve"> </w:t>
      </w:r>
      <w:r>
        <w:rPr>
          <w:b/>
          <w:bCs/>
        </w:rPr>
        <w:t xml:space="preserve">[derived: 800-115 Appendix B]</w:t>
      </w:r>
      <w:r>
        <w:t xml:space="preserve"> </w:t>
      </w:r>
      <w:r>
        <w:t xml:space="preserve">The template that survives is the objective and what is explicitly</w:t>
      </w:r>
      <w:r>
        <w:t xml:space="preserve"> </w:t>
      </w:r>
      <w:r>
        <w:t xml:space="preserve">out of scope; the environment and the authorized test site; the artifacts you hand over up front --</w:t>
      </w:r>
      <w:r>
        <w:t xml:space="preserve"> </w:t>
      </w:r>
      <w:r>
        <w:t xml:space="preserve">threat models, architecture, previous assessment results, the deviations register; named points of</w:t>
      </w:r>
      <w:r>
        <w:t xml:space="preserve"> </w:t>
      </w:r>
      <w:r>
        <w:t xml:space="preserve">contact on both sides, including the incident-response contact; permitted testing hours; the risks and</w:t>
      </w:r>
      <w:r>
        <w:t xml:space="preserve"> </w:t>
      </w:r>
      <w:r>
        <w:t xml:space="preserve">their agreed mitigations; what data the tester may encounter and how it must be handled and destroyed;</w:t>
      </w:r>
      <w:r>
        <w:t xml:space="preserve"> </w:t>
      </w:r>
      <w:r>
        <w:t xml:space="preserve">and how findings are delivered and disclosed.</w:t>
      </w:r>
    </w:p>
    <w:p>
      <w:pPr>
        <w:pStyle w:val="BodyText"/>
      </w:pPr>
      <w:r>
        <w:t xml:space="preserve">The data-handling clause is the one teams skip and the hardest to repair afterwards. Testing can</w:t>
      </w:r>
      <w:r>
        <w:t xml:space="preserve"> </w:t>
      </w:r>
      <w:r>
        <w:t xml:space="preserve">expose to an outside party information held under a regime the adopting organization operates under,</w:t>
      </w:r>
      <w:r>
        <w:t xml:space="preserve"> </w:t>
      </w:r>
      <w:r>
        <w:t xml:space="preserve">and the rules of engagement are where the handling and destruction expectations get written down.</w:t>
      </w:r>
      <w:r>
        <w:t xml:space="preserve"> </w:t>
      </w:r>
      <w:r>
        <w:t xml:space="preserve">Section 1's data-class table is what you hand over to make that clause specific rather than generic.</w:t>
      </w:r>
    </w:p>
    <w:p>
      <w:pPr>
        <w:pStyle w:val="BodyText"/>
      </w:pPr>
      <w:r>
        <w:t xml:space="preserve">An unscoped engagement produces a report you cannot use. A finding whose scope was never agreed cannot</w:t>
      </w:r>
      <w:r>
        <w:t xml:space="preserve"> </w:t>
      </w:r>
      <w:r>
        <w:t xml:space="preserve">be traced to a boundary in section 2, and it cannot be closed under the retest rule in section 12,</w:t>
      </w:r>
      <w:r>
        <w:t xml:space="preserve"> </w:t>
      </w:r>
      <w:r>
        <w:t xml:space="preserve">because there is no agreed original run for a confirming run to mirror. Independence is the other</w:t>
      </w:r>
      <w:r>
        <w:t xml:space="preserve"> </w:t>
      </w:r>
      <w:r>
        <w:t xml:space="preserve">half: an engagement run by a party with no stake in the result is what distinguishes this from the</w:t>
      </w:r>
      <w:r>
        <w:t xml:space="preserve"> </w:t>
      </w:r>
      <w:r>
        <w:t xml:space="preserve">self-assessment section 17 forbids conflating with it.</w:t>
      </w:r>
    </w:p>
    <w:p>
      <w:pPr>
        <w:pStyle w:val="BodyText"/>
      </w:pPr>
      <w:r>
        <w:t xml:space="preserve">Write this even if the engagement is never funded. Scope is what an engagement is priced on, so</w:t>
      </w:r>
      <w:r>
        <w:t xml:space="preserve"> </w:t>
      </w:r>
      <w:r>
        <w:t xml:space="preserve">writing it before soliciting quotes is the difference between comparable bids and a surprise -- and</w:t>
      </w:r>
      <w:r>
        <w:t xml:space="preserve"> </w:t>
      </w:r>
      <w:r>
        <w:t xml:space="preserve">section 13 requires holding the unfunded gap under a dated signed acceptance, where an acceptance</w:t>
      </w:r>
      <w:r>
        <w:t xml:space="preserve"> </w:t>
      </w:r>
      <w:r>
        <w:t xml:space="preserve">naming what would have been in scope is a far stronger record than one saying testing was not</w:t>
      </w:r>
      <w:r>
        <w:t xml:space="preserve"> </w:t>
      </w:r>
      <w:r>
        <w:t xml:space="preserve">performed. It adds no row to the release gate; it makes the row already there answerable.</w:t>
      </w:r>
    </w:p>
    <w:p>
      <w:pPr>
        <w:pStyle w:val="BodyText"/>
      </w:pPr>
      <w:r>
        <w:t xml:space="preserve">Where the engagement has not happened, say so plainly and hold the gap under a dated signed</w:t>
      </w:r>
      <w:r>
        <w:t xml:space="preserve"> </w:t>
      </w:r>
      <w:r>
        <w:t xml:space="preserve">acceptance. Do not let a self-assessment read as verification, and do not omit the cost context.</w:t>
      </w:r>
    </w:p>
    <w:p>
      <w:pPr>
        <w:pStyle w:val="BodyText"/>
      </w:pPr>
      <w:r>
        <w:t xml:space="preserve">A bare "not yet performed" with no explanation reads as negligence. But "not yet performed, and here</w:t>
      </w:r>
      <w:r>
        <w:t xml:space="preserve"> </w:t>
      </w:r>
      <w:r>
        <w:t xml:space="preserve">is the order of magnitude it would cost" reads as a funding constraint a reader can evaluate.</w:t>
      </w:r>
    </w:p>
    <w:p>
      <w:pPr>
        <w:pStyle w:val="BodyText"/>
      </w:pPr>
      <w:r>
        <w:rPr>
          <w:b/>
          <w:bCs/>
        </w:rPr>
        <w:t xml:space="preserve">Do not gate somebody else's deployment on your engagement.</w:t>
      </w:r>
      <w:r>
        <w:t xml:space="preserve"> </w:t>
      </w:r>
      <w:r>
        <w:t xml:space="preserve">For software an adopter self-hosts, the</w:t>
      </w:r>
      <w:r>
        <w:t xml:space="preserve"> </w:t>
      </w:r>
      <w:r>
        <w:t xml:space="preserve">decision to deploy and the assessment supporting it belong to the adopting organization. Record what</w:t>
      </w:r>
      <w:r>
        <w:t xml:space="preserve"> </w:t>
      </w:r>
      <w:r>
        <w:t xml:space="preserve">has and has not been independently verified; do not assert authority over a rollout you do not</w:t>
      </w:r>
      <w:r>
        <w:t xml:space="preserve"> </w:t>
      </w:r>
      <w:r>
        <w:t xml:space="preserve">control.</w:t>
      </w:r>
    </w:p>
    <w:p>
      <w:pPr>
        <w:pStyle w:val="BodyText"/>
      </w:pPr>
      <w:r>
        <w:t xml:space="preserve">This is a correction to an earlier version of this material, which stated the independent review as a</w:t>
      </w:r>
      <w:r>
        <w:t xml:space="preserve"> </w:t>
      </w:r>
      <w:r>
        <w:t xml:space="preserve">precondition for production exposure -- an over-reach for software the producer does not operate.</w:t>
      </w:r>
    </w:p>
    <w:p>
      <w:pPr>
        <w:pStyle w:val="BodyText"/>
      </w:pPr>
      <w:r>
        <w:t xml:space="preserve">If you are running a formal assessment against a published verification standard, the method for it is</w:t>
      </w:r>
      <w:r>
        <w:t xml:space="preserve"> </w:t>
      </w:r>
      <w:r>
        <w:t xml:space="preserve">covered in</w:t>
      </w:r>
      <w:r>
        <w:t xml:space="preserve"> </w:t>
      </w:r>
      <w:hyperlink r:id="rId62">
        <w:r>
          <w:rPr>
            <w:rStyle w:val="Hyperlink"/>
          </w:rPr>
          <w:t xml:space="preserve">running a large security-standard assessment with AI agents</w:t>
        </w:r>
      </w:hyperlink>
      <w:r>
        <w:t xml:space="preserve">. That</w:t>
      </w:r>
      <w:r>
        <w:t xml:space="preserve"> </w:t>
      </w:r>
      <w:r>
        <w:t xml:space="preserve">covers:</w:t>
      </w:r>
    </w:p>
    <w:p>
      <w:pPr>
        <w:pStyle w:val="Compact"/>
        <w:numPr>
          <w:ilvl w:val="0"/>
          <w:numId w:val="1016"/>
        </w:numPr>
      </w:pPr>
      <w:r>
        <w:t xml:space="preserve">verdict vocabulary</w:t>
      </w:r>
    </w:p>
    <w:p>
      <w:pPr>
        <w:pStyle w:val="Compact"/>
        <w:numPr>
          <w:ilvl w:val="0"/>
          <w:numId w:val="1016"/>
        </w:numPr>
      </w:pPr>
      <w:r>
        <w:t xml:space="preserve">why</w:t>
      </w:r>
      <w:r>
        <w:t xml:space="preserve"> </w:t>
      </w:r>
      <w:r>
        <w:rPr>
          <w:rStyle w:val="VerbatimChar"/>
        </w:rPr>
        <w:t xml:space="preserve">unverified</w:t>
      </w:r>
      <w:r>
        <w:t xml:space="preserve"> </w:t>
      </w:r>
      <w:r>
        <w:t xml:space="preserve">must never read as a pass</w:t>
      </w:r>
    </w:p>
    <w:p>
      <w:pPr>
        <w:pStyle w:val="Compact"/>
        <w:numPr>
          <w:ilvl w:val="0"/>
          <w:numId w:val="1016"/>
        </w:numPr>
      </w:pPr>
      <w:r>
        <w:t xml:space="preserve">evidence anchors a machine can re-check</w:t>
      </w:r>
    </w:p>
    <w:p>
      <w:pPr>
        <w:pStyle w:val="Compact"/>
        <w:numPr>
          <w:ilvl w:val="0"/>
          <w:numId w:val="1016"/>
        </w:numPr>
      </w:pPr>
      <w:r>
        <w:t xml:space="preserve">pinning the standard's corpus</w:t>
      </w:r>
    </w:p>
    <w:p>
      <w:pPr>
        <w:pStyle w:val="Compact"/>
        <w:numPr>
          <w:ilvl w:val="0"/>
          <w:numId w:val="1016"/>
        </w:numPr>
      </w:pPr>
      <w:r>
        <w:t xml:space="preserve">how to read a movement in a score</w:t>
      </w:r>
    </w:p>
    <w:p>
      <w:pPr>
        <w:pStyle w:val="FirstParagraph"/>
      </w:pPr>
      <w:r>
        <w:t xml:space="preserve">Do not build a second procedure beside it.</w:t>
      </w:r>
    </w:p>
    <w:p>
      <w:r>
        <w:pict>
          <v:rect style="width:0;height:1.5pt" o:hralign="center" o:hrstd="t" o:hr="t"/>
        </w:pict>
      </w:r>
    </w:p>
    <w:bookmarkEnd w:id="63"/>
    <w:bookmarkEnd w:id="64"/>
    <w:bookmarkStart w:id="66" w:name="X166d910d570b75bb8e35866cbb9a8eb190f1767"/>
    <w:p>
      <w:pPr>
        <w:pStyle w:val="Heading2"/>
      </w:pPr>
      <w:r>
        <w:t xml:space="preserve">16. The release gate</w:t>
      </w:r>
    </w:p>
    <w:p>
      <w:pPr>
        <w:pStyle w:val="FirstParagraph"/>
      </w:pPr>
      <w:r>
        <w:t xml:space="preserve">Codify the gate as an explicit pass or fail list rather than a judgment:</w:t>
      </w:r>
    </w:p>
    <w:p>
      <w:pPr>
        <w:pStyle w:val="Compact"/>
        <w:numPr>
          <w:ilvl w:val="0"/>
          <w:numId w:val="1017"/>
        </w:numPr>
      </w:pPr>
      <w:r>
        <w:t xml:space="preserve">Automated blocking checks passing on the exact commit being released.</w:t>
      </w:r>
    </w:p>
    <w:p>
      <w:pPr>
        <w:pStyle w:val="Compact"/>
        <w:numPr>
          <w:ilvl w:val="0"/>
          <w:numId w:val="1017"/>
        </w:numPr>
      </w:pPr>
      <w:r>
        <w:t xml:space="preserve">No unresolved high or critical findings.</w:t>
      </w:r>
    </w:p>
    <w:p>
      <w:pPr>
        <w:pStyle w:val="Compact"/>
        <w:numPr>
          <w:ilvl w:val="0"/>
          <w:numId w:val="1017"/>
        </w:numPr>
      </w:pPr>
      <w:r>
        <w:t xml:space="preserve">Current independent-review status, or a signed risk acceptance standing in for it.</w:t>
      </w:r>
    </w:p>
    <w:p>
      <w:pPr>
        <w:pStyle w:val="Compact"/>
        <w:numPr>
          <w:ilvl w:val="0"/>
          <w:numId w:val="1017"/>
        </w:numPr>
      </w:pPr>
      <w:r>
        <w:t xml:space="preserve">Updated evidence.</w:t>
      </w:r>
    </w:p>
    <w:p>
      <w:pPr>
        <w:pStyle w:val="Compact"/>
        <w:numPr>
          <w:ilvl w:val="0"/>
          <w:numId w:val="1017"/>
        </w:numPr>
      </w:pPr>
      <w:r>
        <w:t xml:space="preserve">A signed artifact with its component inventory and digest manifest attached to the tag.</w:t>
      </w:r>
    </w:p>
    <w:p>
      <w:pPr>
        <w:pStyle w:val="Compact"/>
        <w:numPr>
          <w:ilvl w:val="0"/>
          <w:numId w:val="1017"/>
        </w:numPr>
      </w:pPr>
      <w:r>
        <w:t xml:space="preserve">Section 1's data-class table current as of the last change that added a class, gave a class a new</w:t>
      </w:r>
      <w:r>
        <w:t xml:space="preserve"> </w:t>
      </w:r>
      <w:r>
        <w:t xml:space="preserve">resting place, or added a boundary.</w:t>
      </w:r>
    </w:p>
    <w:p>
      <w:pPr>
        <w:pStyle w:val="FirstParagraph"/>
      </w:pPr>
      <w:r>
        <w:t xml:space="preserve">Two constraints on reading it.</w:t>
      </w:r>
      <w:r>
        <w:t xml:space="preserve"> </w:t>
      </w:r>
      <w:r>
        <w:rPr>
          <w:b/>
          <w:bCs/>
        </w:rPr>
        <w:t xml:space="preserve">The gate must not lean on an unsigned acceptance</w:t>
      </w:r>
      <w:r>
        <w:t xml:space="preserve">, or it is not a</w:t>
      </w:r>
      <w:r>
        <w:t xml:space="preserve"> </w:t>
      </w:r>
      <w:r>
        <w:t xml:space="preserve">gate. And</w:t>
      </w:r>
      <w:r>
        <w:t xml:space="preserve"> </w:t>
      </w:r>
      <w:r>
        <w:rPr>
          <w:b/>
          <w:bCs/>
        </w:rPr>
        <w:t xml:space="preserve">no single row is the gate on its own</w:t>
      </w:r>
      <w:r>
        <w:t xml:space="preserve"> </w:t>
      </w:r>
      <w:r>
        <w:t xml:space="preserve">-- the composite is.</w:t>
      </w:r>
    </w:p>
    <w:p>
      <w:pPr>
        <w:pStyle w:val="BodyText"/>
      </w:pPr>
      <w:r>
        <w:t xml:space="preserve">One caveat belongs next to it permanently: "no unresolved high or critical" is only as honest as the</w:t>
      </w:r>
      <w:r>
        <w:t xml:space="preserve"> </w:t>
      </w:r>
      <w:r>
        <w:t xml:space="preserve">scanner baselines behind it. It says nothing if the baseline was set on a weak ruleset, or if advisory</w:t>
      </w:r>
      <w:r>
        <w:t xml:space="preserve"> </w:t>
      </w:r>
      <w:r>
        <w:t xml:space="preserve">jobs were miscounted as gating coverage. Verify enforcement from the blocking-job list, not from a</w:t>
      </w:r>
      <w:r>
        <w:t xml:space="preserve"> </w:t>
      </w:r>
      <w:r>
        <w:t xml:space="preserve">green badge -- see</w:t>
      </w:r>
      <w:r>
        <w:t xml:space="preserve"> </w:t>
      </w:r>
      <w:r>
        <w:rPr>
          <w:i/>
          <w:iCs/>
        </w:rPr>
        <w:t xml:space="preserve">A check that cannot fail is not a control</w:t>
      </w:r>
      <w:r>
        <w:t xml:space="preserve"> </w:t>
      </w:r>
      <w:r>
        <w:t xml:space="preserve">in</w:t>
      </w:r>
      <w:r>
        <w:t xml:space="preserve"> </w:t>
      </w:r>
      <w:hyperlink r:id="rId26">
        <w:r>
          <w:rPr>
            <w:rStyle w:val="Hyperlink"/>
          </w:rPr>
          <w:t xml:space="preserve">CI and standards</w:t>
        </w:r>
      </w:hyperlink>
      <w:r>
        <w:t xml:space="preserve">.</w:t>
      </w:r>
    </w:p>
    <w:bookmarkStart w:id="65" w:name="X6bf3214004d99c2dac31ed30d2dbee672c0e4ba"/>
    <w:p>
      <w:pPr>
        <w:pStyle w:val="Heading3"/>
      </w:pPr>
      <w:r>
        <w:t xml:space="preserve">Confirm the control plane before reading any code</w:t>
      </w:r>
    </w:p>
    <w:p>
      <w:pPr>
        <w:pStyle w:val="FirstParagraph"/>
      </w:pPr>
      <w:r>
        <w:t xml:space="preserve">Confirming the control plane is a separate pass from reading code, and it comes first. For each</w:t>
      </w:r>
      <w:r>
        <w:t xml:space="preserve"> </w:t>
      </w:r>
      <w:r>
        <w:t xml:space="preserve">required check, confirm three things and read no source: that it exists, that it blocks rather than</w:t>
      </w:r>
      <w:r>
        <w:t xml:space="preserve"> </w:t>
      </w:r>
      <w:r>
        <w:t xml:space="preserve">advises, and that it was green on the exact commit being released. The release change's own pipeline</w:t>
      </w:r>
      <w:r>
        <w:t xml:space="preserve"> </w:t>
      </w:r>
      <w:r>
        <w:t xml:space="preserve">run is the control plane executing.</w:t>
      </w:r>
    </w:p>
    <w:p>
      <w:pPr>
        <w:pStyle w:val="BodyText"/>
      </w:pPr>
      <w:r>
        <w:t xml:space="preserve">Review the scanner suppression list explicitly rather than accepting it, because a suppressed rule</w:t>
      </w:r>
      <w:r>
        <w:t xml:space="preserve"> </w:t>
      </w:r>
      <w:r>
        <w:t xml:space="preserve">class is a control that has been turned off. A finding closed by adding a suppression is not a closed</w:t>
      </w:r>
      <w:r>
        <w:t xml:space="preserve"> </w:t>
      </w:r>
      <w:r>
        <w:t xml:space="preserve">finding, and it lands in this review rather than in the closed column -- section 12 carries that rule</w:t>
      </w:r>
      <w:r>
        <w:t xml:space="preserve"> </w:t>
      </w:r>
      <w:r>
        <w:t xml:space="preserve">in full. Mark which nominally-security jobs are advisory and do not count those as coverage. Only then</w:t>
      </w:r>
      <w:r>
        <w:t xml:space="preserve"> </w:t>
      </w:r>
      <w:r>
        <w:t xml:space="preserve">spend line-by-line reading on what the automated controls cannot cover.</w:t>
      </w:r>
    </w:p>
    <w:p>
      <w:r>
        <w:pict>
          <v:rect style="width:0;height:1.5pt" o:hralign="center" o:hrstd="t" o:hr="t"/>
        </w:pict>
      </w:r>
    </w:p>
    <w:bookmarkEnd w:id="65"/>
    <w:bookmarkEnd w:id="66"/>
    <w:bookmarkStart w:id="67" w:name="Xd93b41aba76cd6464a6e694c5ed1cd30484ae10"/>
    <w:p>
      <w:pPr>
        <w:pStyle w:val="Heading2"/>
      </w:pPr>
      <w:r>
        <w:t xml:space="preserve">17. What you may claim</w:t>
      </w:r>
    </w:p>
    <w:p>
      <w:pPr>
        <w:pStyle w:val="FirstParagraph"/>
      </w:pPr>
      <w:r>
        <w:t xml:space="preserve">The register you have is</w:t>
      </w:r>
      <w:r>
        <w:t xml:space="preserve"> </w:t>
      </w:r>
      <w:r>
        <w:rPr>
          <w:b/>
          <w:bCs/>
        </w:rPr>
        <w:t xml:space="preserve">built to</w:t>
      </w:r>
      <w:r>
        <w:t xml:space="preserve">,</w:t>
      </w:r>
      <w:r>
        <w:t xml:space="preserve"> </w:t>
      </w:r>
      <w:r>
        <w:rPr>
          <w:b/>
          <w:bCs/>
        </w:rPr>
        <w:t xml:space="preserve">aligned with</w:t>
      </w:r>
      <w:r>
        <w:t xml:space="preserve">, and</w:t>
      </w:r>
      <w:r>
        <w:t xml:space="preserve"> </w:t>
      </w:r>
      <w:r>
        <w:rPr>
          <w:b/>
          <w:bCs/>
        </w:rPr>
        <w:t xml:space="preserve">self-assessed against</w:t>
      </w:r>
      <w:r>
        <w:t xml:space="preserve">, each backed by</w:t>
      </w:r>
      <w:r>
        <w:t xml:space="preserve"> </w:t>
      </w:r>
      <w:r>
        <w:t xml:space="preserve">evidence, and each a claim about</w:t>
      </w:r>
      <w:r>
        <w:t xml:space="preserve"> </w:t>
      </w:r>
      <w:r>
        <w:rPr>
          <w:b/>
          <w:bCs/>
        </w:rPr>
        <w:t xml:space="preserve">this document and your own process</w:t>
      </w:r>
      <w:r>
        <w:t xml:space="preserve">. You do not have</w:t>
      </w:r>
      <w:r>
        <w:t xml:space="preserve"> </w:t>
      </w:r>
      <w:r>
        <w:rPr>
          <w:b/>
          <w:bCs/>
        </w:rPr>
        <w:t xml:space="preserve">certified</w:t>
      </w:r>
      <w:r>
        <w:t xml:space="preserve">,</w:t>
      </w:r>
      <w:r>
        <w:t xml:space="preserve"> </w:t>
      </w:r>
      <w:r>
        <w:rPr>
          <w:b/>
          <w:bCs/>
        </w:rPr>
        <w:t xml:space="preserve">verified</w:t>
      </w:r>
      <w:r>
        <w:t xml:space="preserve">, or</w:t>
      </w:r>
      <w:r>
        <w:t xml:space="preserve"> </w:t>
      </w:r>
      <w:r>
        <w:rPr>
          <w:b/>
          <w:bCs/>
        </w:rPr>
        <w:t xml:space="preserve">compliant</w:t>
      </w:r>
      <w:r>
        <w:t xml:space="preserve">, and writing one of those is the fastest way to have the</w:t>
      </w:r>
      <w:r>
        <w:t xml:space="preserve"> </w:t>
      </w:r>
      <w:r>
        <w:t xml:space="preserve">whole page discounted.</w:t>
      </w:r>
    </w:p>
    <w:p>
      <w:pPr>
        <w:pStyle w:val="BodyText"/>
      </w:pPr>
      <w:r>
        <w:rPr>
          <w:b/>
          <w:bCs/>
        </w:rPr>
        <w:t xml:space="preserve">The register does not extend to a publication you cited.</w:t>
      </w:r>
      <w:r>
        <w:t xml:space="preserve"> </w:t>
      </w:r>
      <w:r>
        <w:t xml:space="preserve">"Aligned with" is available only against</w:t>
      </w:r>
      <w:r>
        <w:t xml:space="preserve"> </w:t>
      </w:r>
      <w:r>
        <w:t xml:space="preserve">a named control identifier -- "this practice corresponds to SP 800-53 Rev. 5 control SA-11(8)" is a</w:t>
      </w:r>
      <w:r>
        <w:t xml:space="preserve"> </w:t>
      </w:r>
      <w:r>
        <w:t xml:space="preserve">claim a reviewer can check against one paragraph of one publication. Against a publication as a</w:t>
      </w:r>
      <w:r>
        <w:t xml:space="preserve"> </w:t>
      </w:r>
      <w:r>
        <w:t xml:space="preserve">whole it is unavailable, in either direction: not "aligned with SP 800-53", which claims a catalog of</w:t>
      </w:r>
      <w:r>
        <w:t xml:space="preserve"> </w:t>
      </w:r>
      <w:r>
        <w:t xml:space="preserve">a thousand controls nobody assessed, and not "built to SP 800-218", which is the same defect wearing</w:t>
      </w:r>
      <w:r>
        <w:t xml:space="preserve"> </w:t>
      </w:r>
      <w:r>
        <w:t xml:space="preserve">the register's own vocabulary and is close to the wording a federal secure-software attestation turns</w:t>
      </w:r>
      <w:r>
        <w:t xml:space="preserve"> </w:t>
      </w:r>
      <w:r>
        <w:t xml:space="preserve">on. Naming four publications near the top of this page does not enlarge what may be claimed at the</w:t>
      </w:r>
      <w:r>
        <w:t xml:space="preserve"> </w:t>
      </w:r>
      <w:r>
        <w:t xml:space="preserve">bottom of it; the reasoning is in</w:t>
      </w:r>
      <w:r>
        <w:t xml:space="preserve"> </w:t>
      </w:r>
      <w:r>
        <w:rPr>
          <w:i/>
          <w:iCs/>
        </w:rPr>
        <w:t xml:space="preserve">Naming these sources is not a conformance claim</w:t>
      </w:r>
      <w:r>
        <w:t xml:space="preserve"> </w:t>
      </w:r>
      <w:r>
        <w:t xml:space="preserve">and is not</w:t>
      </w:r>
      <w:r>
        <w:t xml:space="preserve"> </w:t>
      </w:r>
      <w:r>
        <w:t xml:space="preserve">repeated here.</w:t>
      </w:r>
    </w:p>
    <w:p>
      <w:pPr>
        <w:pStyle w:val="BodyText"/>
      </w:pPr>
      <w:r>
        <w:t xml:space="preserve">The general rule, with the honesty-state tagging and the claims register that goes with it, is in</w:t>
      </w:r>
      <w:r>
        <w:t xml:space="preserve"> </w:t>
      </w:r>
      <w:hyperlink r:id="rId26">
        <w:r>
          <w:rPr>
            <w:rStyle w:val="Hyperlink"/>
          </w:rPr>
          <w:t xml:space="preserve">CI and standards</w:t>
        </w:r>
      </w:hyperlink>
      <w:r>
        <w:t xml:space="preserve">. Four things are specific to a security claim:</w:t>
      </w:r>
    </w:p>
    <w:p>
      <w:pPr>
        <w:pStyle w:val="Compact"/>
        <w:numPr>
          <w:ilvl w:val="0"/>
          <w:numId w:val="1018"/>
        </w:numPr>
      </w:pPr>
      <w:r>
        <w:rPr>
          <w:b/>
          <w:bCs/>
        </w:rPr>
        <w:t xml:space="preserve">State the attestation posture positively, with its scope named.</w:t>
      </w:r>
      <w:r>
        <w:t xml:space="preserve"> </w:t>
      </w:r>
      <w:r>
        <w:t xml:space="preserve">"This project attests that it</w:t>
      </w:r>
      <w:r>
        <w:t xml:space="preserve"> </w:t>
      </w:r>
      <w:r>
        <w:t xml:space="preserve">builds under this standard" is a claim you can support. "The output is independently audited" is</w:t>
      </w:r>
      <w:r>
        <w:t xml:space="preserve"> </w:t>
      </w:r>
      <w:r>
        <w:t xml:space="preserve">not, unless it is.</w:t>
      </w:r>
    </w:p>
    <w:p>
      <w:pPr>
        <w:pStyle w:val="Compact"/>
        <w:numPr>
          <w:ilvl w:val="0"/>
          <w:numId w:val="1018"/>
        </w:numPr>
      </w:pPr>
      <w:r>
        <w:rPr>
          <w:b/>
          <w:bCs/>
        </w:rPr>
        <w:t xml:space="preserve">Say what the standard does not confer, structurally and near the top.</w:t>
      </w:r>
      <w:r>
        <w:t xml:space="preserve"> </w:t>
      </w:r>
      <w:r>
        <w:t xml:space="preserve">It confers no compliance,</w:t>
      </w:r>
      <w:r>
        <w:t xml:space="preserve"> </w:t>
      </w:r>
      <w:r>
        <w:t xml:space="preserve">certification, or fitness on the product, on you, or on an adopter, and it does not substitute for</w:t>
      </w:r>
      <w:r>
        <w:t xml:space="preserve"> </w:t>
      </w:r>
      <w:r>
        <w:t xml:space="preserve">an adopter's own assessment. That is a statement about scope, not a disclaimer.</w:t>
      </w:r>
    </w:p>
    <w:p>
      <w:pPr>
        <w:pStyle w:val="Compact"/>
        <w:numPr>
          <w:ilvl w:val="0"/>
          <w:numId w:val="1018"/>
        </w:numPr>
      </w:pPr>
      <w:r>
        <w:rPr>
          <w:b/>
          <w:bCs/>
        </w:rPr>
        <w:t xml:space="preserve">Where you borrow discipline from a regime you are not subject to, say so.</w:t>
      </w:r>
      <w:r>
        <w:t xml:space="preserve"> </w:t>
      </w:r>
      <w:r>
        <w:t xml:space="preserve">Adopted by analogy and</w:t>
      </w:r>
      <w:r>
        <w:t xml:space="preserve"> </w:t>
      </w:r>
      <w:r>
        <w:t xml:space="preserve">voluntarily; producing the artifacts confers nothing.</w:t>
      </w:r>
    </w:p>
    <w:p>
      <w:pPr>
        <w:pStyle w:val="Compact"/>
        <w:numPr>
          <w:ilvl w:val="0"/>
          <w:numId w:val="1018"/>
        </w:numPr>
      </w:pPr>
      <w:r>
        <w:rPr>
          <w:b/>
          <w:bCs/>
        </w:rPr>
        <w:t xml:space="preserve">Never restate another document's assurance-level target, count, or score.</w:t>
      </w:r>
      <w:r>
        <w:t xml:space="preserve"> </w:t>
      </w:r>
      <w:r>
        <w:t xml:space="preserve">Two documents that</w:t>
      </w:r>
      <w:r>
        <w:t xml:space="preserve"> </w:t>
      </w:r>
      <w:r>
        <w:t xml:space="preserve">each restate the other's target will eventually disagree, and both will look authoritative. Name the</w:t>
      </w:r>
      <w:r>
        <w:t xml:space="preserve"> </w:t>
      </w:r>
      <w:r>
        <w:t xml:space="preserve">record of record and link to it, so there is exactly one place that can be wrong.</w:t>
      </w:r>
    </w:p>
    <w:p>
      <w:pPr>
        <w:pStyle w:val="FirstParagraph"/>
      </w:pPr>
      <w:r>
        <w:t xml:space="preserve">That last one is the state-it-once rule applied to the one class of fact where being wrong is most</w:t>
      </w:r>
      <w:r>
        <w:t xml:space="preserve"> </w:t>
      </w:r>
      <w:r>
        <w:t xml:space="preserve">expensive.</w:t>
      </w:r>
    </w:p>
    <w:p>
      <w:pPr>
        <w:pStyle w:val="BodyText"/>
      </w:pPr>
      <w:r>
        <w:rPr>
          <w:b/>
          <w:bCs/>
        </w:rPr>
        <w:t xml:space="preserve">Cite a proposed requirement as proposed.</w:t>
      </w:r>
      <w:r>
        <w:t xml:space="preserve"> </w:t>
      </w:r>
      <w:r>
        <w:t xml:space="preserve">Where a standard or regulation is under revision, a draft</w:t>
      </w:r>
      <w:r>
        <w:t xml:space="preserve"> </w:t>
      </w:r>
      <w:r>
        <w:t xml:space="preserve">that has not been finalised is never a current requirement, and the frame is "if finalised" every time</w:t>
      </w:r>
      <w:r>
        <w:t xml:space="preserve"> </w:t>
      </w:r>
      <w:r>
        <w:t xml:space="preserve">it appears. Record the date you last checked its status -- that check is what goes stale, not the</w:t>
      </w:r>
      <w:r>
        <w:t xml:space="preserve"> </w:t>
      </w:r>
      <w:r>
        <w:t xml:space="preserve">citation.</w:t>
      </w:r>
    </w:p>
    <w:p>
      <w:r>
        <w:pict>
          <v:rect style="width:0;height:1.5pt" o:hralign="center" o:hrstd="t" o:hr="t"/>
        </w:pict>
      </w:r>
    </w:p>
    <w:bookmarkEnd w:id="67"/>
    <w:bookmarkStart w:id="68" w:name="in-one-table"/>
    <w:p>
      <w:pPr>
        <w:pStyle w:val="Heading2"/>
      </w:pPr>
      <w:r>
        <w:t xml:space="preserve">In one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When</w:t>
            </w:r>
          </w:p>
        </w:tc>
        <w:tc>
          <w:tcPr/>
          <w:p>
            <w:pPr>
              <w:pStyle w:val="Compact"/>
            </w:pPr>
            <w:r>
              <w:t xml:space="preserve">Rule</w:t>
            </w:r>
          </w:p>
        </w:tc>
      </w:tr>
      <w:tr>
        <w:tc>
          <w:tcPr/>
          <w:p>
            <w:pPr>
              <w:pStyle w:val="Compact"/>
            </w:pPr>
            <w:r>
              <w:t xml:space="preserve">Starting</w:t>
            </w:r>
          </w:p>
        </w:tc>
        <w:tc>
          <w:tcPr/>
          <w:p>
            <w:pPr>
              <w:pStyle w:val="Compact"/>
            </w:pPr>
            <w:r>
              <w:t xml:space="preserve">Write the producer-versus-operator split before claiming any control</w:t>
            </w:r>
          </w:p>
        </w:tc>
      </w:tr>
      <w:tr>
        <w:tc>
          <w:tcPr/>
          <w:p>
            <w:pPr>
              <w:pStyle w:val="Compact"/>
            </w:pPr>
            <w:r>
              <w:t xml:space="preserve">Starting</w:t>
            </w:r>
          </w:p>
        </w:tc>
        <w:tc>
          <w:tcPr/>
          <w:p>
            <w:pPr>
              <w:pStyle w:val="Compact"/>
            </w:pPr>
            <w:r>
              <w:t xml:space="preserve">Define restricted data once, as a table of classes and every place each one rests</w:t>
            </w:r>
          </w:p>
        </w:tc>
      </w:tr>
      <w:tr>
        <w:tc>
          <w:tcPr/>
          <w:p>
            <w:pPr>
              <w:pStyle w:val="Compact"/>
            </w:pPr>
            <w:r>
              <w:t xml:space="preserve">Starting</w:t>
            </w:r>
          </w:p>
        </w:tc>
        <w:tc>
          <w:tcPr/>
          <w:p>
            <w:pPr>
              <w:pStyle w:val="Compact"/>
            </w:pPr>
            <w:r>
              <w:t xml:space="preserve">List the services neither column owns, and what fails if one goes away</w:t>
            </w:r>
          </w:p>
        </w:tc>
      </w:tr>
      <w:tr>
        <w:tc>
          <w:tcPr/>
          <w:p>
            <w:pPr>
              <w:pStyle w:val="Compact"/>
            </w:pPr>
            <w:r>
              <w:t xml:space="preserve">Designing</w:t>
            </w:r>
          </w:p>
        </w:tc>
        <w:tc>
          <w:tcPr/>
          <w:p>
            <w:pPr>
              <w:pStyle w:val="Compact"/>
            </w:pPr>
            <w:r>
              <w:t xml:space="preserve">Threat model each trust boundary before the build; name a mitigation for each way in</w:t>
            </w:r>
          </w:p>
        </w:tc>
      </w:tr>
      <w:tr>
        <w:tc>
          <w:tcPr/>
          <w:p>
            <w:pPr>
              <w:pStyle w:val="Compact"/>
            </w:pPr>
            <w:r>
              <w:t xml:space="preserve">Designing</w:t>
            </w:r>
          </w:p>
        </w:tc>
        <w:tc>
          <w:tcPr/>
          <w:p>
            <w:pPr>
              <w:pStyle w:val="Compact"/>
            </w:pPr>
            <w:r>
              <w:t xml:space="preserve">Draw the boundary list; a diagram with no boundaries marked on it is not a security artifact</w:t>
            </w:r>
          </w:p>
        </w:tc>
      </w:tr>
      <w:tr>
        <w:tc>
          <w:tcPr/>
          <w:p>
            <w:pPr>
              <w:pStyle w:val="Compact"/>
            </w:pPr>
            <w:r>
              <w:t xml:space="preserve">Designing</w:t>
            </w:r>
          </w:p>
        </w:tc>
        <w:tc>
          <w:tcPr/>
          <w:p>
            <w:pPr>
              <w:pStyle w:val="Compact"/>
            </w:pPr>
            <w:r>
              <w:t xml:space="preserve">Bound resource consumption per boundary; an unbounded boundary is a finding</w:t>
            </w:r>
          </w:p>
        </w:tc>
      </w:tr>
      <w:tr>
        <w:tc>
          <w:tcPr/>
          <w:p>
            <w:pPr>
              <w:pStyle w:val="Compact"/>
            </w:pPr>
            <w:r>
              <w:t xml:space="preserve">Designing</w:t>
            </w:r>
          </w:p>
        </w:tc>
        <w:tc>
          <w:tcPr/>
          <w:p>
            <w:pPr>
              <w:pStyle w:val="Compact"/>
            </w:pPr>
            <w:r>
              <w:t xml:space="preserve">At an execution boundary, check every caller reaches it, not the documented one</w:t>
            </w:r>
          </w:p>
        </w:tc>
      </w:tr>
      <w:tr>
        <w:tc>
          <w:tcPr/>
          <w:p>
            <w:pPr>
              <w:pStyle w:val="Compact"/>
            </w:pPr>
            <w:r>
              <w:t xml:space="preserve">Coding</w:t>
            </w:r>
          </w:p>
        </w:tc>
        <w:tc>
          <w:tcPr/>
          <w:p>
            <w:pPr>
              <w:pStyle w:val="Compact"/>
            </w:pPr>
            <w:r>
              <w:t xml:space="preserve">Validate at ingress, parameterise every query, confine every path, fail closed</w:t>
            </w:r>
          </w:p>
        </w:tc>
      </w:tr>
      <w:tr>
        <w:tc>
          <w:tcPr/>
          <w:p>
            <w:pPr>
              <w:pStyle w:val="Compact"/>
            </w:pPr>
            <w:r>
              <w:t xml:space="preserve">Reviewing</w:t>
            </w:r>
          </w:p>
        </w:tc>
        <w:tc>
          <w:tcPr/>
          <w:p>
            <w:pPr>
              <w:pStyle w:val="Compact"/>
            </w:pPr>
            <w:r>
              <w:t xml:space="preserve">Self-review is a documented deviation, not a satisfied control</w:t>
            </w:r>
          </w:p>
        </w:tc>
      </w:tr>
      <w:tr>
        <w:tc>
          <w:tcPr/>
          <w:p>
            <w:pPr>
              <w:pStyle w:val="Compact"/>
            </w:pPr>
            <w:r>
              <w:t xml:space="preserve">Reviewing</w:t>
            </w:r>
          </w:p>
        </w:tc>
        <w:tc>
          <w:tcPr/>
          <w:p>
            <w:pPr>
              <w:pStyle w:val="Compact"/>
            </w:pPr>
            <w:r>
              <w:t xml:space="preserve">Name the compensating set and the event that ends the deviation</w:t>
            </w:r>
          </w:p>
        </w:tc>
      </w:tr>
      <w:tr>
        <w:tc>
          <w:tcPr/>
          <w:p>
            <w:pPr>
              <w:pStyle w:val="Compact"/>
            </w:pPr>
            <w:r>
              <w:t xml:space="preserve">Gating</w:t>
            </w:r>
          </w:p>
        </w:tc>
        <w:tc>
          <w:tcPr/>
          <w:p>
            <w:pPr>
              <w:pStyle w:val="Compact"/>
            </w:pPr>
            <w:r>
              <w:t xml:space="preserve">Coverage is the blocking checks that run on the change, not the tool count</w:t>
            </w:r>
          </w:p>
        </w:tc>
      </w:tr>
      <w:tr>
        <w:tc>
          <w:tcPr/>
          <w:p>
            <w:pPr>
              <w:pStyle w:val="Compact"/>
            </w:pPr>
            <w:r>
              <w:t xml:space="preserve">Gating</w:t>
            </w:r>
          </w:p>
        </w:tc>
        <w:tc>
          <w:tcPr/>
          <w:p>
            <w:pPr>
              <w:pStyle w:val="Compact"/>
            </w:pPr>
            <w:r>
              <w:t xml:space="preserve">A clean run is a start condition for red-on-regression, never a certificate</w:t>
            </w:r>
          </w:p>
        </w:tc>
      </w:tr>
      <w:tr>
        <w:tc>
          <w:tcPr/>
          <w:p>
            <w:pPr>
              <w:pStyle w:val="Compact"/>
            </w:pPr>
            <w:r>
              <w:t xml:space="preserve">Gating</w:t>
            </w:r>
          </w:p>
        </w:tc>
        <w:tc>
          <w:tcPr/>
          <w:p>
            <w:pPr>
              <w:pStyle w:val="Compact"/>
            </w:pPr>
            <w:r>
              <w:t xml:space="preserve">Fire the failure class at the gate before crediting its green</w:t>
            </w:r>
          </w:p>
        </w:tc>
      </w:tr>
      <w:tr>
        <w:tc>
          <w:tcPr/>
          <w:p>
            <w:pPr>
              <w:pStyle w:val="Compact"/>
            </w:pPr>
            <w:r>
              <w:t xml:space="preserve">Gating</w:t>
            </w:r>
          </w:p>
        </w:tc>
        <w:tc>
          <w:tcPr/>
          <w:p>
            <w:pPr>
              <w:pStyle w:val="Compact"/>
            </w:pPr>
            <w:r>
              <w:t xml:space="preserve">Trigger a dynamic pass on an event; when no trigger fires, record that nothing ran</w:t>
            </w:r>
          </w:p>
        </w:tc>
      </w:tr>
      <w:tr>
        <w:tc>
          <w:tcPr/>
          <w:p>
            <w:pPr>
              <w:pStyle w:val="Compact"/>
            </w:pPr>
            <w:r>
              <w:t xml:space="preserve">Gating</w:t>
            </w:r>
          </w:p>
        </w:tc>
        <w:tc>
          <w:tcPr/>
          <w:p>
            <w:pPr>
              <w:pStyle w:val="Compact"/>
            </w:pPr>
            <w:r>
              <w:t xml:space="preserve">Encode a control as one shared check across sibling paths</w:t>
            </w:r>
          </w:p>
        </w:tc>
      </w:tr>
      <w:tr>
        <w:tc>
          <w:tcPr/>
          <w:p>
            <w:pPr>
              <w:pStyle w:val="Compact"/>
            </w:pPr>
            <w:r>
              <w:t xml:space="preserve">Gating</w:t>
            </w:r>
          </w:p>
        </w:tc>
        <w:tc>
          <w:tcPr/>
          <w:p>
            <w:pPr>
              <w:pStyle w:val="Compact"/>
            </w:pPr>
            <w:r>
              <w:t xml:space="preserve">Record rigor and scope separately per blocking check; one green hides both</w:t>
            </w:r>
          </w:p>
        </w:tc>
      </w:tr>
      <w:tr>
        <w:tc>
          <w:tcPr/>
          <w:p>
            <w:pPr>
              <w:pStyle w:val="Compact"/>
            </w:pPr>
            <w:r>
              <w:t xml:space="preserve">Configuring</w:t>
            </w:r>
          </w:p>
        </w:tc>
        <w:tc>
          <w:tcPr/>
          <w:p>
            <w:pPr>
              <w:pStyle w:val="Compact"/>
            </w:pPr>
            <w:r>
              <w:t xml:space="preserve">Secure by default; every insecure posture is a named, audited, fail-closed opt-in</w:t>
            </w:r>
          </w:p>
        </w:tc>
      </w:tr>
      <w:tr>
        <w:tc>
          <w:tcPr/>
          <w:p>
            <w:pPr>
              <w:pStyle w:val="Compact"/>
            </w:pPr>
            <w:r>
              <w:t xml:space="preserve">Configuring</w:t>
            </w:r>
          </w:p>
        </w:tc>
        <w:tc>
          <w:tcPr/>
          <w:p>
            <w:pPr>
              <w:pStyle w:val="Compact"/>
            </w:pPr>
            <w:r>
              <w:t xml:space="preserve">Off-by-default and fail-closed are different states -- describe them apart</w:t>
            </w:r>
          </w:p>
        </w:tc>
      </w:tr>
      <w:tr>
        <w:tc>
          <w:tcPr/>
          <w:p>
            <w:pPr>
              <w:pStyle w:val="Compact"/>
            </w:pPr>
            <w:r>
              <w:t xml:space="preserve">Configuring</w:t>
            </w:r>
          </w:p>
        </w:tc>
        <w:tc>
          <w:tcPr/>
          <w:p>
            <w:pPr>
              <w:pStyle w:val="Compact"/>
            </w:pPr>
            <w:r>
              <w:t xml:space="preserve">Synthetic data outside production; live data raises the environment, not lowers the class</w:t>
            </w:r>
          </w:p>
        </w:tc>
      </w:tr>
      <w:tr>
        <w:tc>
          <w:tcPr/>
          <w:p>
            <w:pPr>
              <w:pStyle w:val="Compact"/>
            </w:pPr>
            <w:r>
              <w:t xml:space="preserve">Configuring</w:t>
            </w:r>
          </w:p>
        </w:tc>
        <w:tc>
          <w:tcPr/>
          <w:p>
            <w:pPr>
              <w:pStyle w:val="Compact"/>
            </w:pPr>
            <w:r>
              <w:t xml:space="preserve">Rate a collection by the highest class in it, never the average or per entry</w:t>
            </w:r>
          </w:p>
        </w:tc>
      </w:tr>
      <w:tr>
        <w:tc>
          <w:tcPr/>
          <w:p>
            <w:pPr>
              <w:pStyle w:val="Compact"/>
            </w:pPr>
            <w:r>
              <w:t xml:space="preserve">Authenticating</w:t>
            </w:r>
          </w:p>
        </w:tc>
        <w:tc>
          <w:tcPr/>
          <w:p>
            <w:pPr>
              <w:pStyle w:val="Compact"/>
            </w:pPr>
            <w:r>
              <w:t xml:space="preserve">Strongest mechanism the peer supports, recorded per connection</w:t>
            </w:r>
          </w:p>
        </w:tc>
      </w:tr>
      <w:tr>
        <w:tc>
          <w:tcPr/>
          <w:p>
            <w:pPr>
              <w:pStyle w:val="Compact"/>
            </w:pPr>
            <w:r>
              <w:t xml:space="preserve">Authenticating</w:t>
            </w:r>
          </w:p>
        </w:tc>
        <w:tc>
          <w:tcPr/>
          <w:p>
            <w:pPr>
              <w:pStyle w:val="Compact"/>
            </w:pPr>
            <w:r>
              <w:t xml:space="preserve">No long-lived secret in a file; no cleartext directory bind</w:t>
            </w:r>
          </w:p>
        </w:tc>
      </w:tr>
      <w:tr>
        <w:tc>
          <w:tcPr/>
          <w:p>
            <w:pPr>
              <w:pStyle w:val="Compact"/>
            </w:pPr>
            <w:r>
              <w:t xml:space="preserve">Logging</w:t>
            </w:r>
          </w:p>
        </w:tc>
        <w:tc>
          <w:tcPr/>
          <w:p>
            <w:pPr>
              <w:pStyle w:val="Compact"/>
            </w:pPr>
            <w:r>
              <w:t xml:space="preserve">Append-only, hash-chained, actor-attributed; no secrets or restricted data at info level</w:t>
            </w:r>
          </w:p>
        </w:tc>
      </w:tr>
      <w:tr>
        <w:tc>
          <w:tcPr/>
          <w:p>
            <w:pPr>
              <w:pStyle w:val="Compact"/>
            </w:pPr>
            <w:r>
              <w:t xml:space="preserve">Logging</w:t>
            </w:r>
          </w:p>
        </w:tc>
        <w:tc>
          <w:tcPr/>
          <w:p>
            <w:pPr>
              <w:pStyle w:val="Compact"/>
            </w:pPr>
            <w:r>
              <w:t xml:space="preserve">State what happens when the log cannot be written; a broken chain reads as tampering</w:t>
            </w:r>
          </w:p>
        </w:tc>
      </w:tr>
      <w:tr>
        <w:tc>
          <w:tcPr/>
          <w:p>
            <w:pPr>
              <w:pStyle w:val="Compact"/>
            </w:pPr>
            <w:r>
              <w:t xml:space="preserve">Logging</w:t>
            </w:r>
          </w:p>
        </w:tc>
        <w:tc>
          <w:tcPr/>
          <w:p>
            <w:pPr>
              <w:pStyle w:val="Compact"/>
            </w:pPr>
            <w:r>
              <w:t xml:space="preserve">Ship the query, export and chain-verify affordance; the review cadence is the operator's</w:t>
            </w:r>
          </w:p>
        </w:tc>
      </w:tr>
      <w:tr>
        <w:tc>
          <w:tcPr/>
          <w:p>
            <w:pPr>
              <w:pStyle w:val="Compact"/>
            </w:pPr>
            <w:r>
              <w:t xml:space="preserve">Releasing</w:t>
            </w:r>
          </w:p>
        </w:tc>
        <w:tc>
          <w:tcPr/>
          <w:p>
            <w:pPr>
              <w:pStyle w:val="Compact"/>
            </w:pPr>
            <w:r>
              <w:t xml:space="preserve">The release build runs on an ephemeral runner, never on a developer workstation</w:t>
            </w:r>
          </w:p>
        </w:tc>
      </w:tr>
      <w:tr>
        <w:tc>
          <w:tcPr/>
          <w:p>
            <w:pPr>
              <w:pStyle w:val="Compact"/>
            </w:pPr>
            <w:r>
              <w:t xml:space="preserve">Releasing</w:t>
            </w:r>
          </w:p>
        </w:tc>
        <w:tc>
          <w:tcPr/>
          <w:p>
            <w:pPr>
              <w:pStyle w:val="Compact"/>
            </w:pPr>
            <w:r>
              <w:t xml:space="preserve">Pin every action, image and tool by digest, and review the pinned set on a cadence</w:t>
            </w:r>
          </w:p>
        </w:tc>
      </w:tr>
      <w:tr>
        <w:tc>
          <w:tcPr/>
          <w:p>
            <w:pPr>
              <w:pStyle w:val="Compact"/>
            </w:pPr>
            <w:r>
              <w:t xml:space="preserve">Releasing</w:t>
            </w:r>
          </w:p>
        </w:tc>
        <w:tc>
          <w:tcPr/>
          <w:p>
            <w:pPr>
              <w:pStyle w:val="Compact"/>
            </w:pPr>
            <w:r>
              <w:t xml:space="preserve">Enumerate every principal that can write, administer or publish; review and prune it</w:t>
            </w:r>
          </w:p>
        </w:tc>
      </w:tr>
      <w:tr>
        <w:tc>
          <w:tcPr/>
          <w:p>
            <w:pPr>
              <w:pStyle w:val="Compact"/>
            </w:pPr>
            <w:r>
              <w:t xml:space="preserve">Releasing</w:t>
            </w:r>
          </w:p>
        </w:tc>
        <w:tc>
          <w:tcPr/>
          <w:p>
            <w:pPr>
              <w:pStyle w:val="Compact"/>
            </w:pPr>
            <w:r>
              <w:t xml:space="preserve">Short-lived workflow-bound publishing credentials, paired with an attestation over the digest</w:t>
            </w:r>
          </w:p>
        </w:tc>
      </w:tr>
      <w:tr>
        <w:tc>
          <w:tcPr/>
          <w:p>
            <w:pPr>
              <w:pStyle w:val="Compact"/>
            </w:pPr>
            <w:r>
              <w:t xml:space="preserve">Releasing</w:t>
            </w:r>
          </w:p>
        </w:tc>
        <w:tc>
          <w:tcPr/>
          <w:p>
            <w:pPr>
              <w:pStyle w:val="Compact"/>
            </w:pPr>
            <w:r>
              <w:t xml:space="preserve">Publish a signed digest manifest and document the offline verification path</w:t>
            </w:r>
          </w:p>
        </w:tc>
      </w:tr>
      <w:tr>
        <w:tc>
          <w:tcPr/>
          <w:p>
            <w:pPr>
              <w:pStyle w:val="Compact"/>
            </w:pPr>
            <w:r>
              <w:t xml:space="preserve">Releasing</w:t>
            </w:r>
          </w:p>
        </w:tc>
        <w:tc>
          <w:tcPr/>
          <w:p>
            <w:pPr>
              <w:pStyle w:val="Compact"/>
            </w:pPr>
            <w:r>
              <w:t xml:space="preserve">A component inventory answers "do we ship X" -- it is not tamper detection</w:t>
            </w:r>
          </w:p>
        </w:tc>
      </w:tr>
      <w:tr>
        <w:tc>
          <w:tcPr/>
          <w:p>
            <w:pPr>
              <w:pStyle w:val="Compact"/>
            </w:pPr>
            <w:r>
              <w:t xml:space="preserve">Releasing</w:t>
            </w:r>
          </w:p>
        </w:tc>
        <w:tc>
          <w:tcPr/>
          <w:p>
            <w:pPr>
              <w:pStyle w:val="Compact"/>
            </w:pPr>
            <w:r>
              <w:t xml:space="preserve">Archive the artifact, its build inputs, and its inventory together</w:t>
            </w:r>
          </w:p>
        </w:tc>
      </w:tr>
      <w:tr>
        <w:tc>
          <w:tcPr/>
          <w:p>
            <w:pPr>
              <w:pStyle w:val="Compact"/>
            </w:pPr>
            <w:r>
              <w:t xml:space="preserve">Releasing</w:t>
            </w:r>
          </w:p>
        </w:tc>
        <w:tc>
          <w:tcPr/>
          <w:p>
            <w:pPr>
              <w:pStyle w:val="Compact"/>
            </w:pPr>
            <w:r>
              <w:t xml:space="preserve">Verify the published artifact after release; what you built is not what shipped</w:t>
            </w:r>
          </w:p>
        </w:tc>
      </w:tr>
      <w:tr>
        <w:tc>
          <w:tcPr/>
          <w:p>
            <w:pPr>
              <w:pStyle w:val="Compact"/>
            </w:pPr>
            <w:r>
              <w:t xml:space="preserve">Releasing</w:t>
            </w:r>
          </w:p>
        </w:tc>
        <w:tc>
          <w:tcPr/>
          <w:p>
            <w:pPr>
              <w:pStyle w:val="Compact"/>
            </w:pPr>
            <w:r>
              <w:t xml:space="preserve">Back up the evidence archive off-platform, and restore one release to prove it</w:t>
            </w:r>
          </w:p>
        </w:tc>
      </w:tr>
      <w:tr>
        <w:tc>
          <w:tcPr/>
          <w:p>
            <w:pPr>
              <w:pStyle w:val="Compact"/>
            </w:pPr>
            <w:r>
              <w:t xml:space="preserve">Hardening</w:t>
            </w:r>
          </w:p>
        </w:tc>
        <w:tc>
          <w:tcPr/>
          <w:p>
            <w:pPr>
              <w:pStyle w:val="Compact"/>
            </w:pPr>
            <w:r>
              <w:t xml:space="preserve">An in-process integrity check detects accidents, never a privileged attacker</w:t>
            </w:r>
          </w:p>
        </w:tc>
      </w:tr>
      <w:tr>
        <w:tc>
          <w:tcPr/>
          <w:p>
            <w:pPr>
              <w:pStyle w:val="Compact"/>
            </w:pPr>
            <w:r>
              <w:t xml:space="preserve">Hardening</w:t>
            </w:r>
          </w:p>
        </w:tc>
        <w:tc>
          <w:tcPr/>
          <w:p>
            <w:pPr>
              <w:pStyle w:val="Compact"/>
            </w:pPr>
            <w:r>
              <w:t xml:space="preserve">Operator-side controls are documented and recommended, never claimed</w:t>
            </w:r>
          </w:p>
        </w:tc>
      </w:tr>
      <w:tr>
        <w:tc>
          <w:tcPr/>
          <w:p>
            <w:pPr>
              <w:pStyle w:val="Compact"/>
            </w:pPr>
            <w:r>
              <w:t xml:space="preserve">Hardening</w:t>
            </w:r>
          </w:p>
        </w:tc>
        <w:tc>
          <w:tcPr/>
          <w:p>
            <w:pPr>
              <w:pStyle w:val="Compact"/>
            </w:pPr>
            <w:r>
              <w:t xml:space="preserve">Roll out a blocking verification control in audit mode first</w:t>
            </w:r>
          </w:p>
        </w:tc>
      </w:tr>
      <w:tr>
        <w:tc>
          <w:tcPr/>
          <w:p>
            <w:pPr>
              <w:pStyle w:val="Compact"/>
            </w:pPr>
            <w:r>
              <w:t xml:space="preserve">Responding</w:t>
            </w:r>
          </w:p>
        </w:tc>
        <w:tc>
          <w:tcPr/>
          <w:p>
            <w:pPr>
              <w:pStyle w:val="Compact"/>
            </w:pPr>
            <w:r>
              <w:t xml:space="preserve">Rehearse the response program end to end; state where each clock starts</w:t>
            </w:r>
          </w:p>
        </w:tc>
      </w:tr>
      <w:tr>
        <w:tc>
          <w:tcPr/>
          <w:p>
            <w:pPr>
              <w:pStyle w:val="Compact"/>
            </w:pPr>
            <w:r>
              <w:t xml:space="preserve">Responding</w:t>
            </w:r>
          </w:p>
        </w:tc>
        <w:tc>
          <w:tcPr/>
          <w:p>
            <w:pPr>
              <w:pStyle w:val="Compact"/>
            </w:pPr>
            <w:r>
              <w:t xml:space="preserve">Publish the intake, the bands and the clock start; an unmonitored address is not a channel</w:t>
            </w:r>
          </w:p>
        </w:tc>
      </w:tr>
      <w:tr>
        <w:tc>
          <w:tcPr/>
          <w:p>
            <w:pPr>
              <w:pStyle w:val="Compact"/>
            </w:pPr>
            <w:r>
              <w:t xml:space="preserve">Responding</w:t>
            </w:r>
          </w:p>
        </w:tc>
        <w:tc>
          <w:tcPr/>
          <w:p>
            <w:pPr>
              <w:pStyle w:val="Compact"/>
            </w:pPr>
            <w:r>
              <w:t xml:space="preserve">Ship an advisory per fixed vulnerability where tooling reads it; a changelog line is not one</w:t>
            </w:r>
          </w:p>
        </w:tc>
      </w:tr>
      <w:tr>
        <w:tc>
          <w:tcPr/>
          <w:p>
            <w:pPr>
              <w:pStyle w:val="Compact"/>
            </w:pPr>
            <w:r>
              <w:t xml:space="preserve">Responding</w:t>
            </w:r>
          </w:p>
        </w:tc>
        <w:tc>
          <w:tcPr/>
          <w:p>
            <w:pPr>
              <w:pStyle w:val="Compact"/>
            </w:pPr>
            <w:r>
              <w:t xml:space="preserve">A finding closes when its own check goes green on the fix commit, not when the fix merges</w:t>
            </w:r>
          </w:p>
        </w:tc>
      </w:tr>
      <w:tr>
        <w:tc>
          <w:tcPr/>
          <w:p>
            <w:pPr>
              <w:pStyle w:val="Compact"/>
            </w:pPr>
            <w:r>
              <w:t xml:space="preserve">Responding</w:t>
            </w:r>
          </w:p>
        </w:tc>
        <w:tc>
          <w:tcPr/>
          <w:p>
            <w:pPr>
              <w:pStyle w:val="Compact"/>
            </w:pPr>
            <w:r>
              <w:t xml:space="preserve">The confirming run is a mirror copy; a suppression is a suppression, never a closure</w:t>
            </w:r>
          </w:p>
        </w:tc>
      </w:tr>
      <w:tr>
        <w:tc>
          <w:tcPr/>
          <w:p>
            <w:pPr>
              <w:pStyle w:val="Compact"/>
            </w:pPr>
            <w:r>
              <w:t xml:space="preserve">Responding</w:t>
            </w:r>
          </w:p>
        </w:tc>
        <w:tc>
          <w:tcPr/>
          <w:p>
            <w:pPr>
              <w:pStyle w:val="Compact"/>
            </w:pPr>
            <w:r>
              <w:t xml:space="preserve">Measure time-to-remediate against the windows you set, then label them project-set</w:t>
            </w:r>
          </w:p>
        </w:tc>
      </w:tr>
      <w:tr>
        <w:tc>
          <w:tcPr/>
          <w:p>
            <w:pPr>
              <w:pStyle w:val="Compact"/>
            </w:pPr>
            <w:r>
              <w:t xml:space="preserve">Accepting risk</w:t>
            </w:r>
          </w:p>
        </w:tc>
        <w:tc>
          <w:tcPr/>
          <w:p>
            <w:pPr>
              <w:pStyle w:val="Compact"/>
            </w:pPr>
            <w:r>
              <w:t xml:space="preserve">Dated and signed, with a trigger that voids it. Unsigned is an open gap</w:t>
            </w:r>
          </w:p>
        </w:tc>
      </w:tr>
      <w:tr>
        <w:tc>
          <w:tcPr/>
          <w:p>
            <w:pPr>
              <w:pStyle w:val="Compact"/>
            </w:pPr>
            <w:r>
              <w:t xml:space="preserve">Accepting risk</w:t>
            </w:r>
          </w:p>
        </w:tc>
        <w:tc>
          <w:tcPr/>
          <w:p>
            <w:pPr>
              <w:pStyle w:val="Compact"/>
            </w:pPr>
            <w:r>
              <w:t xml:space="preserve">Publish the rule, not the inventory of what is currently absent</w:t>
            </w:r>
          </w:p>
        </w:tc>
      </w:tr>
      <w:tr>
        <w:tc>
          <w:tcPr/>
          <w:p>
            <w:pPr>
              <w:pStyle w:val="Compact"/>
            </w:pPr>
            <w:r>
              <w:t xml:space="preserve">Re-evaluating</w:t>
            </w:r>
          </w:p>
        </w:tc>
        <w:tc>
          <w:tcPr/>
          <w:p>
            <w:pPr>
              <w:pStyle w:val="Compact"/>
            </w:pPr>
            <w:r>
              <w:t xml:space="preserve">Four items on a stated cadence; hold it to four or nobody runs it</w:t>
            </w:r>
          </w:p>
        </w:tc>
      </w:tr>
      <w:tr>
        <w:tc>
          <w:tcPr/>
          <w:p>
            <w:pPr>
              <w:pStyle w:val="Compact"/>
            </w:pPr>
            <w:r>
              <w:t xml:space="preserve">Re-evaluating</w:t>
            </w:r>
          </w:p>
        </w:tc>
        <w:tc>
          <w:tcPr/>
          <w:p>
            <w:pPr>
              <w:pStyle w:val="Compact"/>
            </w:pPr>
            <w:r>
              <w:t xml:space="preserve">Event-trigger the data-class table instead of adding a fifth calendar item</w:t>
            </w:r>
          </w:p>
        </w:tc>
      </w:tr>
      <w:tr>
        <w:tc>
          <w:tcPr/>
          <w:p>
            <w:pPr>
              <w:pStyle w:val="Compact"/>
            </w:pPr>
            <w:r>
              <w:t xml:space="preserve">Verifying</w:t>
            </w:r>
          </w:p>
        </w:tc>
        <w:tc>
          <w:tcPr/>
          <w:p>
            <w:pPr>
              <w:pStyle w:val="Compact"/>
            </w:pPr>
            <w:r>
              <w:t xml:space="preserve">Scope an external engagement in writing, countersigned and approved before work starts</w:t>
            </w:r>
          </w:p>
        </w:tc>
      </w:tr>
      <w:tr>
        <w:tc>
          <w:tcPr/>
          <w:p>
            <w:pPr>
              <w:pStyle w:val="Compact"/>
            </w:pPr>
            <w:r>
              <w:t xml:space="preserve">Shipping</w:t>
            </w:r>
          </w:p>
        </w:tc>
        <w:tc>
          <w:tcPr/>
          <w:p>
            <w:pPr>
              <w:pStyle w:val="Compact"/>
            </w:pPr>
            <w:r>
              <w:t xml:space="preserve">The gate is a list with a defined failure mode, and no single row is the gate</w:t>
            </w:r>
          </w:p>
        </w:tc>
      </w:tr>
      <w:tr>
        <w:tc>
          <w:tcPr/>
          <w:p>
            <w:pPr>
              <w:pStyle w:val="Compact"/>
            </w:pPr>
            <w:r>
              <w:t xml:space="preserve">Shipping</w:t>
            </w:r>
          </w:p>
        </w:tc>
        <w:tc>
          <w:tcPr/>
          <w:p>
            <w:pPr>
              <w:pStyle w:val="Compact"/>
            </w:pPr>
            <w:r>
              <w:t xml:space="preserve">Confirm the control plane -- present, blocking, green on this commit -- before reading code</w:t>
            </w:r>
          </w:p>
        </w:tc>
      </w:tr>
      <w:tr>
        <w:tc>
          <w:tcPr/>
          <w:p>
            <w:pPr>
              <w:pStyle w:val="Compact"/>
            </w:pPr>
            <w:r>
              <w:t xml:space="preserve">Claiming</w:t>
            </w:r>
          </w:p>
        </w:tc>
        <w:tc>
          <w:tcPr/>
          <w:p>
            <w:pPr>
              <w:pStyle w:val="Compact"/>
            </w:pPr>
            <w:r>
              <w:t xml:space="preserve">Built to, aligned with a named control, self-assessed against -- of your own process, never of a cited publication</w:t>
            </w:r>
          </w:p>
        </w:tc>
      </w:tr>
      <w:tr>
        <w:tc>
          <w:tcPr/>
          <w:p>
            <w:pPr>
              <w:pStyle w:val="Compact"/>
            </w:pPr>
            <w:r>
              <w:t xml:space="preserve">Claiming</w:t>
            </w:r>
          </w:p>
        </w:tc>
        <w:tc>
          <w:tcPr/>
          <w:p>
            <w:pPr>
              <w:pStyle w:val="Compact"/>
            </w:pPr>
            <w:r>
              <w:t xml:space="preserve">Never certified, and never aligned with a publication as a whole</w:t>
            </w:r>
          </w:p>
        </w:tc>
      </w:tr>
      <w:tr>
        <w:tc>
          <w:tcPr/>
          <w:p>
            <w:pPr>
              <w:pStyle w:val="Compact"/>
            </w:pPr>
            <w:r>
              <w:t xml:space="preserve">Claiming</w:t>
            </w:r>
          </w:p>
        </w:tc>
        <w:tc>
          <w:tcPr/>
          <w:p>
            <w:pPr>
              <w:pStyle w:val="Compact"/>
            </w:pPr>
            <w:r>
              <w:t xml:space="preserve">Never restate another document's target or score; link to the record of record</w:t>
            </w:r>
          </w:p>
        </w:tc>
      </w:tr>
    </w:tbl>
    <w:p>
      <w:r>
        <w:pict>
          <v:rect style="width:0;height:1.5pt" o:hralign="center" o:hrstd="t" o:hr="t"/>
        </w:pict>
      </w:r>
    </w:p>
    <w:bookmarkEnd w:id="68"/>
    <w:bookmarkStart w:id="69" w:name="adapting-this-to-your-project"/>
    <w:p>
      <w:pPr>
        <w:pStyle w:val="Heading2"/>
      </w:pPr>
      <w:r>
        <w:t xml:space="preserve">Adapting this to your project</w:t>
      </w:r>
    </w:p>
    <w:p>
      <w:pPr>
        <w:pStyle w:val="FirstParagraph"/>
      </w:pPr>
      <w:r>
        <w:rPr>
          <w:b/>
          <w:bCs/>
        </w:rPr>
        <w:t xml:space="preserve">Change freely:</w:t>
      </w:r>
    </w:p>
    <w:p>
      <w:pPr>
        <w:pStyle w:val="Compact"/>
        <w:numPr>
          <w:ilvl w:val="0"/>
          <w:numId w:val="1019"/>
        </w:numPr>
      </w:pPr>
      <w:r>
        <w:rPr>
          <w:b/>
          <w:bCs/>
        </w:rPr>
        <w:t xml:space="preserve">The section set.</w:t>
      </w:r>
      <w:r>
        <w:t xml:space="preserve"> </w:t>
      </w:r>
      <w:r>
        <w:t xml:space="preserve">Drop what you do not have. A project with no network interfaces does not need</w:t>
      </w:r>
      <w:r>
        <w:t xml:space="preserve"> </w:t>
      </w:r>
      <w:r>
        <w:t xml:space="preserve">section 8, and saying so beats leaving an empty heading that reads as an unowned control.</w:t>
      </w:r>
    </w:p>
    <w:p>
      <w:pPr>
        <w:pStyle w:val="Compact"/>
        <w:numPr>
          <w:ilvl w:val="0"/>
          <w:numId w:val="1019"/>
        </w:numPr>
      </w:pPr>
      <w:r>
        <w:rPr>
          <w:b/>
          <w:bCs/>
        </w:rPr>
        <w:t xml:space="preserve">The authentication hierarchy.</w:t>
      </w:r>
      <w:r>
        <w:t xml:space="preserve"> </w:t>
      </w:r>
      <w:r>
        <w:t xml:space="preserve">It is ordered by what a peer system can support, and yours will</w:t>
      </w:r>
      <w:r>
        <w:t xml:space="preserve"> </w:t>
      </w:r>
      <w:r>
        <w:t xml:space="preserve">differ. Keep the property -- strongest available, recorded per connection, weak ones as an explicit</w:t>
      </w:r>
      <w:r>
        <w:t xml:space="preserve"> </w:t>
      </w:r>
      <w:r>
        <w:t xml:space="preserve">short list -- and replace the mechanisms.</w:t>
      </w:r>
    </w:p>
    <w:p>
      <w:pPr>
        <w:pStyle w:val="Compact"/>
        <w:numPr>
          <w:ilvl w:val="0"/>
          <w:numId w:val="1019"/>
        </w:numPr>
      </w:pPr>
      <w:r>
        <w:rPr>
          <w:b/>
          <w:bCs/>
        </w:rPr>
        <w:t xml:space="preserve">The remediation windows.</w:t>
      </w:r>
      <w:r>
        <w:t xml:space="preserve"> </w:t>
      </w:r>
      <w:r>
        <w:t xml:space="preserve">There is no validated number. Set yours from your own capacity, record</w:t>
      </w:r>
      <w:r>
        <w:t xml:space="preserve"> </w:t>
      </w:r>
      <w:r>
        <w:t xml:space="preserve">them where a reporter can read them, and label them project-set.</w:t>
      </w:r>
    </w:p>
    <w:p>
      <w:pPr>
        <w:pStyle w:val="Compact"/>
        <w:numPr>
          <w:ilvl w:val="0"/>
          <w:numId w:val="1019"/>
        </w:numPr>
      </w:pPr>
      <w:r>
        <w:rPr>
          <w:b/>
          <w:bCs/>
        </w:rPr>
        <w:t xml:space="preserve">Everything platform-specific.</w:t>
      </w:r>
      <w:r>
        <w:t xml:space="preserve"> </w:t>
      </w:r>
      <w:r>
        <w:t xml:space="preserve">Managed service identities, transparency logs, admission control</w:t>
      </w:r>
      <w:r>
        <w:t xml:space="preserve"> </w:t>
      </w:r>
      <w:r>
        <w:t xml:space="preserve">and integrity monitoring all have different names and different guarantees per platform. Name the</w:t>
      </w:r>
      <w:r>
        <w:t xml:space="preserve"> </w:t>
      </w:r>
      <w:r>
        <w:t xml:space="preserve">one you use rather than implying the pattern is universal.</w:t>
      </w:r>
    </w:p>
    <w:p>
      <w:pPr>
        <w:pStyle w:val="Compact"/>
        <w:numPr>
          <w:ilvl w:val="0"/>
          <w:numId w:val="1019"/>
        </w:numPr>
      </w:pPr>
      <w:r>
        <w:rPr>
          <w:b/>
          <w:bCs/>
        </w:rPr>
        <w:t xml:space="preserve">The adoption order.</w:t>
      </w:r>
      <w:r>
        <w:t xml:space="preserve"> </w:t>
      </w:r>
      <w:r>
        <w:t xml:space="preserve">Sections 1, 5 and 13 are the cheapest and the highest-leverage; after those,</w:t>
      </w:r>
      <w:r>
        <w:t xml:space="preserve"> </w:t>
      </w:r>
      <w:r>
        <w:t xml:space="preserve">take whatever your riskiest surface demands.</w:t>
      </w:r>
    </w:p>
    <w:p>
      <w:pPr>
        <w:pStyle w:val="FirstParagraph"/>
      </w:pPr>
      <w:r>
        <w:rPr>
          <w:b/>
          <w:bCs/>
        </w:rPr>
        <w:t xml:space="preserve">Do not weaken:</w:t>
      </w:r>
    </w:p>
    <w:p>
      <w:pPr>
        <w:pStyle w:val="Compact"/>
        <w:numPr>
          <w:ilvl w:val="0"/>
          <w:numId w:val="1020"/>
        </w:numPr>
      </w:pPr>
      <w:r>
        <w:rPr>
          <w:b/>
          <w:bCs/>
        </w:rPr>
        <w:t xml:space="preserve">The ownership split, in either direction.</w:t>
      </w:r>
      <w:r>
        <w:t xml:space="preserve"> </w:t>
      </w:r>
      <w:r>
        <w:t xml:space="preserve">Claiming an operator-side control is over-reach.</w:t>
      </w:r>
      <w:r>
        <w:t xml:space="preserve"> </w:t>
      </w:r>
      <w:r>
        <w:t xml:space="preserve">Pushing a producer-side control onto the operator is abdication.</w:t>
      </w:r>
    </w:p>
    <w:p>
      <w:pPr>
        <w:pStyle w:val="Compact"/>
        <w:numPr>
          <w:ilvl w:val="0"/>
          <w:numId w:val="1020"/>
        </w:numPr>
      </w:pPr>
      <w:r>
        <w:rPr>
          <w:b/>
          <w:bCs/>
        </w:rPr>
        <w:t xml:space="preserve">The single definition of restricted data.</w:t>
      </w:r>
      <w:r>
        <w:t xml:space="preserve"> </w:t>
      </w:r>
      <w:r>
        <w:t xml:space="preserve">One table in section 1, and every other rule points at</w:t>
      </w:r>
      <w:r>
        <w:t xml:space="preserve"> </w:t>
      </w:r>
      <w:r>
        <w:t xml:space="preserve">it rather than carrying its own adjective. Two terms for one idea is how a rule ends up enforced in</w:t>
      </w:r>
      <w:r>
        <w:t xml:space="preserve"> </w:t>
      </w:r>
      <w:r>
        <w:t xml:space="preserve">one section and quietly absent from its sibling, and the fix is to delete the second term rather</w:t>
      </w:r>
      <w:r>
        <w:t xml:space="preserve"> </w:t>
      </w:r>
      <w:r>
        <w:t xml:space="preserve">than to define it as well.</w:t>
      </w:r>
    </w:p>
    <w:p>
      <w:pPr>
        <w:pStyle w:val="Compact"/>
        <w:numPr>
          <w:ilvl w:val="0"/>
          <w:numId w:val="1020"/>
        </w:numPr>
      </w:pPr>
      <w:r>
        <w:rPr>
          <w:b/>
          <w:bCs/>
        </w:rPr>
        <w:t xml:space="preserve">The unwaivable set.</w:t>
      </w:r>
      <w:r>
        <w:t xml:space="preserve"> </w:t>
      </w:r>
      <w:r>
        <w:t xml:space="preserve">Static analysis, dependency analysis and secret scanning block, and an</w:t>
      </w:r>
      <w:r>
        <w:t xml:space="preserve"> </w:t>
      </w:r>
      <w:r>
        <w:t xml:space="preserve">author cannot waive their own change past them. The moment one becomes waivable it stops being a</w:t>
      </w:r>
      <w:r>
        <w:t xml:space="preserve"> </w:t>
      </w:r>
      <w:r>
        <w:t xml:space="preserve">control and becomes a preference.</w:t>
      </w:r>
    </w:p>
    <w:p>
      <w:pPr>
        <w:pStyle w:val="Compact"/>
        <w:numPr>
          <w:ilvl w:val="0"/>
          <w:numId w:val="1020"/>
        </w:numPr>
      </w:pPr>
      <w:r>
        <w:rPr>
          <w:b/>
          <w:bCs/>
        </w:rPr>
        <w:t xml:space="preserve">The deviation format.</w:t>
      </w:r>
      <w:r>
        <w:t xml:space="preserve"> </w:t>
      </w:r>
      <w:r>
        <w:t xml:space="preserve">Dropping the date makes it unageable; dropping the trigger makes it</w:t>
      </w:r>
      <w:r>
        <w:t xml:space="preserve"> </w:t>
      </w:r>
      <w:r>
        <w:t xml:space="preserve">permanent; dropping the signature makes it an open gap. All three fields or none of it counts.</w:t>
      </w:r>
    </w:p>
    <w:p>
      <w:pPr>
        <w:pStyle w:val="Compact"/>
        <w:numPr>
          <w:ilvl w:val="0"/>
          <w:numId w:val="1020"/>
        </w:numPr>
      </w:pPr>
      <w:r>
        <w:rPr>
          <w:b/>
          <w:bCs/>
        </w:rPr>
        <w:t xml:space="preserve">The claim register.</w:t>
      </w:r>
      <w:r>
        <w:t xml:space="preserve"> </w:t>
      </w:r>
      <w:r>
        <w:t xml:space="preserve">"Certified" is not a stronger synonym for "self-assessed against". It is a</w:t>
      </w:r>
      <w:r>
        <w:t xml:space="preserve"> </w:t>
      </w:r>
      <w:r>
        <w:t xml:space="preserve">different and false statement, and it is the one a reader will check.</w:t>
      </w:r>
    </w:p>
    <w:p>
      <w:pPr>
        <w:pStyle w:val="Compact"/>
        <w:numPr>
          <w:ilvl w:val="0"/>
          <w:numId w:val="1020"/>
        </w:numPr>
      </w:pPr>
      <w:r>
        <w:rPr>
          <w:b/>
          <w:bCs/>
        </w:rPr>
        <w:t xml:space="preserve">The honest limit next to each control.</w:t>
      </w:r>
      <w:r>
        <w:t xml:space="preserve"> </w:t>
      </w:r>
      <w:r>
        <w:t xml:space="preserve">Each of these is a compensating control resting on a</w:t>
      </w:r>
      <w:r>
        <w:t xml:space="preserve"> </w:t>
      </w:r>
      <w:r>
        <w:t xml:space="preserve">false premise: an in-process integrity check that is described without the bootstrap-trust limit, a</w:t>
      </w:r>
      <w:r>
        <w:t xml:space="preserve"> </w:t>
      </w:r>
      <w:r>
        <w:t xml:space="preserve">component inventory described as tamper detection, or a self-assessment described as verification.</w:t>
      </w:r>
      <w:r>
        <w:t xml:space="preserve"> </w:t>
      </w:r>
      <w:r>
        <w:t xml:space="preserve">The next person to touch it reasons from your description rather than from the code.</w:t>
      </w:r>
    </w:p>
    <w:p>
      <w:r>
        <w:pict>
          <v:rect style="width:0;height:1.5pt" o:hralign="center" o:hrstd="t" o:hr="t"/>
        </w:pict>
      </w:r>
    </w:p>
    <w:bookmarkEnd w:id="69"/>
    <w:bookmarkStart w:id="70" w:name="Xd58ae4afd9eb69dfedf0e7d438c304043b8423d"/>
    <w:p>
      <w:pPr>
        <w:pStyle w:val="Heading2"/>
      </w:pPr>
      <w:r>
        <w:t xml:space="preserve">What this document does not take from a control catalog</w:t>
      </w:r>
    </w:p>
    <w:p>
      <w:pPr>
        <w:pStyle w:val="FirstParagraph"/>
      </w:pPr>
      <w:r>
        <w:t xml:space="preserve">A reader who arrives holding the SSDF or SP 800-53, rather than arriving at the top, has two ways in.</w:t>
      </w:r>
      <w:r>
        <w:t xml:space="preserve"> </w:t>
      </w:r>
      <w:r>
        <w:t xml:space="preserve">For what</w:t>
      </w:r>
      <w:r>
        <w:t xml:space="preserve"> </w:t>
      </w:r>
      <w:r>
        <w:rPr>
          <w:b/>
          <w:bCs/>
        </w:rPr>
        <w:t xml:space="preserve">was</w:t>
      </w:r>
      <w:r>
        <w:t xml:space="preserve"> </w:t>
      </w:r>
      <w:r>
        <w:t xml:space="preserve">borrowed, the marks in the body are the index: each names the control it came from,</w:t>
      </w:r>
      <w:r>
        <w:t xml:space="preserve"> </w:t>
      </w:r>
      <w:r>
        <w:t xml:space="preserve">so searching this page for a control identifier lands on the rule that restates it, inside the</w:t>
      </w:r>
      <w:r>
        <w:t xml:space="preserve"> </w:t>
      </w:r>
      <w:r>
        <w:t xml:space="preserve">section that argues for it. The sources table below records which publication contributes what.</w:t>
      </w:r>
    </w:p>
    <w:p>
      <w:pPr>
        <w:pStyle w:val="BodyText"/>
      </w:pPr>
      <w:r>
        <w:t xml:space="preserve">This table is the other half, and it is the half nobody writes down: the areas a control catalog</w:t>
      </w:r>
      <w:r>
        <w:t xml:space="preserve"> </w:t>
      </w:r>
      <w:r>
        <w:t xml:space="preserve">covers that this document deliberately takes nothing from, and why. It exists so that an absence</w:t>
      </w:r>
      <w:r>
        <w:t xml:space="preserve"> </w:t>
      </w:r>
      <w:r>
        <w:t xml:space="preserve">reads as a decision rather than as an oversight, and so a reader holding a catalog can stop looking.</w:t>
      </w:r>
    </w:p>
    <w:p>
      <w:pPr>
        <w:pStyle w:val="BodyText"/>
      </w:pPr>
      <w:r>
        <w:rPr>
          <w:b/>
          <w:bCs/>
        </w:rPr>
        <w:t xml:space="preserve">It is not a coverage map, and there is nothing here to score.</w:t>
      </w:r>
      <w:r>
        <w:t xml:space="preserve"> </w:t>
      </w:r>
      <w:r>
        <w:t xml:space="preserve">A row means this document has</w:t>
      </w:r>
      <w:r>
        <w:t xml:space="preserve"> </w:t>
      </w:r>
      <w:r>
        <w:t xml:space="preserve">declined to say something about that area. Nothing here claims the document satisfies a control, that</w:t>
      </w:r>
      <w:r>
        <w:t xml:space="preserve"> </w:t>
      </w:r>
      <w:r>
        <w:t xml:space="preserve">a product built under it satisfies one, or that either could be assessed against the catalog an</w:t>
      </w:r>
      <w:r>
        <w:t xml:space="preserve"> </w:t>
      </w:r>
      <w:r>
        <w:t xml:space="preserve">identifier came from. Section 17 carries the claim register, and</w:t>
      </w:r>
      <w:r>
        <w:t xml:space="preserve"> </w:t>
      </w:r>
      <w:r>
        <w:rPr>
          <w:i/>
          <w:iCs/>
        </w:rPr>
        <w:t xml:space="preserve">Naming these sources is not a</w:t>
      </w:r>
      <w:r>
        <w:rPr>
          <w:i/>
          <w:iCs/>
        </w:rPr>
        <w:t xml:space="preserve"> </w:t>
      </w:r>
      <w:r>
        <w:rPr>
          <w:i/>
          <w:iCs/>
        </w:rPr>
        <w:t xml:space="preserve">conformance claim</w:t>
      </w:r>
      <w:r>
        <w:t xml:space="preserve"> </w:t>
      </w:r>
      <w:r>
        <w:t xml:space="preserve">near the top carries the reasoning; neither is repeated here.</w:t>
      </w:r>
    </w:p>
    <w:p>
      <w:pPr>
        <w:pStyle w:val="BodyText"/>
      </w:pPr>
      <w:r>
        <w:t xml:space="preserve">There is deliberately</w:t>
      </w:r>
      <w:r>
        <w:t xml:space="preserve"> </w:t>
      </w:r>
      <w:r>
        <w:rPr>
          <w:b/>
          <w:bCs/>
        </w:rPr>
        <w:t xml:space="preserve">no table mapping this document's rules onto a catalog's controls</w:t>
      </w:r>
      <w:r>
        <w:t xml:space="preserve">. A reader</w:t>
      </w:r>
      <w:r>
        <w:t xml:space="preserve"> </w:t>
      </w:r>
      <w:r>
        <w:t xml:space="preserve">would read one as a scorecard whatever it said about itself, control identifiers being unusually</w:t>
      </w:r>
      <w:r>
        <w:t xml:space="preserve"> </w:t>
      </w:r>
      <w:r>
        <w:t xml:space="preserve">quotable; and a count of externally-catalogued identifiers is already in section 5's anti-metrics</w:t>
      </w:r>
      <w:r>
        <w:t xml:space="preserve"> </w:t>
      </w:r>
      <w:r>
        <w:t xml:space="preserve">table as a badge that measures nothing. Most of what such a table would have held is already stated</w:t>
      </w:r>
      <w:r>
        <w:t xml:space="preserve"> </w:t>
      </w:r>
      <w:r>
        <w:t xml:space="preserve">once, in the body, at the rule.</w:t>
      </w:r>
    </w:p>
    <w:p>
      <w:pPr>
        <w:pStyle w:val="BodyText"/>
      </w:pPr>
      <w:r>
        <w:t xml:space="preserve">Two notes on reading what is here. The 800-53 rows name controls as they stand in Release 5.2.0, per</w:t>
      </w:r>
      <w:r>
        <w:t xml:space="preserve"> </w:t>
      </w:r>
      <w:r>
        <w:rPr>
          <w:i/>
          <w:iCs/>
        </w:rPr>
        <w:t xml:space="preserve">Name the release, not just the revision</w:t>
      </w:r>
      <w:r>
        <w:t xml:space="preserve"> </w:t>
      </w:r>
      <w:r>
        <w:t xml:space="preserve">above. And an absence from this table is not a claim in</w:t>
      </w:r>
      <w:r>
        <w:t xml:space="preserve"> </w:t>
      </w:r>
      <w:r>
        <w:t xml:space="preserve">either direction: the area may have been borrowed from, in which case a mark in the body says so, or</w:t>
      </w:r>
      <w:r>
        <w:t xml:space="preserve"> </w:t>
      </w:r>
      <w:r>
        <w:t xml:space="preserve">it may simply be one nobody has asked about yet.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Control or practice</w:t>
            </w:r>
          </w:p>
        </w:tc>
        <w:tc>
          <w:tcPr/>
          <w:p>
            <w:pPr>
              <w:pStyle w:val="Compact"/>
            </w:pPr>
            <w:r>
              <w:t xml:space="preserve">What it asks for, in one line</w:t>
            </w:r>
          </w:p>
        </w:tc>
        <w:tc>
          <w:tcPr/>
          <w:p>
            <w:pPr>
              <w:pStyle w:val="Compact"/>
            </w:pPr>
            <w:r>
              <w:t xml:space="preserve">Why nothing here is taken from it</w:t>
            </w:r>
          </w:p>
        </w:tc>
      </w:tr>
      <w:tr>
        <w:tc>
          <w:tcPr/>
          <w:p>
            <w:pPr>
              <w:pStyle w:val="Compact"/>
            </w:pPr>
            <w:r>
              <w:t xml:space="preserve">800-53 AC-5</w:t>
            </w:r>
          </w:p>
        </w:tc>
        <w:tc>
          <w:tcPr/>
          <w:p>
            <w:pPr>
              <w:pStyle w:val="Compact"/>
            </w:pPr>
            <w:r>
              <w:t xml:space="preserve">Separation of duties, divided among individuals</w:t>
            </w:r>
          </w:p>
        </w:tc>
        <w:tc>
          <w:tcPr/>
          <w:p>
            <w:pPr>
              <w:pStyle w:val="Compact"/>
            </w:pPr>
            <w:r>
              <w:t xml:space="preserve">NOT ADDRESSED, structurally. It requires two qualified individuals. Section 4 models the correct treatment of a control a small team cannot meet: name the control, record the deviation, name the compensating set actually in force, and name the event that ends it -- never redefine the control until it fits</w:t>
            </w:r>
          </w:p>
        </w:tc>
      </w:tr>
      <w:tr>
        <w:tc>
          <w:tcPr/>
          <w:p>
            <w:pPr>
              <w:pStyle w:val="Compact"/>
            </w:pPr>
            <w:r>
              <w:t xml:space="preserve">800-53 AT family</w:t>
            </w:r>
          </w:p>
        </w:tc>
        <w:tc>
          <w:tcPr/>
          <w:p>
            <w:pPr>
              <w:pStyle w:val="Compact"/>
            </w:pPr>
            <w:r>
              <w:t xml:space="preserve">Security awareness and role-based training, with completion records</w:t>
            </w:r>
          </w:p>
        </w:tc>
        <w:tc>
          <w:tcPr/>
          <w:p>
            <w:pPr>
              <w:pStyle w:val="Compact"/>
            </w:pPr>
            <w:r>
              <w:t xml:space="preserve">NOT ADDRESSED. Section 4's comprehension bar -- reject code you cannot explain -- is the right-sized substitute and is already there. A training program with completion records beside it would be a second record of the same obligation, which is what section 17's name-the-record-of-record rule exists to prevent</w:t>
            </w:r>
          </w:p>
        </w:tc>
      </w:tr>
      <w:tr>
        <w:tc>
          <w:tcPr/>
          <w:p>
            <w:pPr>
              <w:pStyle w:val="Compact"/>
            </w:pPr>
            <w:r>
              <w:t xml:space="preserve">800-53 AU-9(1), AU-10</w:t>
            </w:r>
          </w:p>
        </w:tc>
        <w:tc>
          <w:tcPr/>
          <w:p>
            <w:pPr>
              <w:pStyle w:val="Compact"/>
            </w:pPr>
            <w:r>
              <w:t xml:space="preserve">Write-once media for audit records; non-repudiation</w:t>
            </w:r>
          </w:p>
        </w:tc>
        <w:tc>
          <w:tcPr/>
          <w:p>
            <w:pPr>
              <w:pStyle w:val="Compact"/>
            </w:pPr>
            <w:r>
              <w:t xml:space="preserve">NOT ADDRESSED. The hash-chained log in section 9 is the right assurance level for this audience. Write-once media and public-key-backed non-repudiation are operator infrastructure whose cost is orders of magnitude above the threat a small producer is defending against</w:t>
            </w:r>
          </w:p>
        </w:tc>
      </w:tr>
      <w:tr>
        <w:tc>
          <w:tcPr/>
          <w:p>
            <w:pPr>
              <w:pStyle w:val="Compact"/>
            </w:pPr>
            <w:r>
              <w:t xml:space="preserve">800-53 CA-6, and the SP 800-53B baselines around it</w:t>
            </w:r>
          </w:p>
        </w:tc>
        <w:tc>
          <w:tcPr/>
          <w:p>
            <w:pPr>
              <w:pStyle w:val="Compact"/>
            </w:pPr>
            <w:r>
              <w:t xml:space="preserve">Select and tailor a control baseline, then authorize the system to operate</w:t>
            </w:r>
          </w:p>
        </w:tc>
        <w:tc>
          <w:tcPr/>
          <w:p>
            <w:pPr>
              <w:pStyle w:val="Compact"/>
            </w:pPr>
            <w:r>
              <w:t xml:space="preserve">NOT ADDRESSED, deliberately. This is what makes 800-53 mean something to a system owner and it is meaningless to a producer who does not operate the system. An adopter who follows the citation upstream will spend weeks tailoring and end with a document describing an organization they are not. Only named control text is borrowed here</w:t>
            </w:r>
          </w:p>
        </w:tc>
      </w:tr>
      <w:tr>
        <w:tc>
          <w:tcPr/>
          <w:p>
            <w:pPr>
              <w:pStyle w:val="Compact"/>
            </w:pPr>
            <w:r>
              <w:t xml:space="preserve">800-53 CM-5(4)</w:t>
            </w:r>
          </w:p>
        </w:tc>
        <w:tc>
          <w:tcPr/>
          <w:p>
            <w:pPr>
              <w:pStyle w:val="Compact"/>
            </w:pPr>
            <w:r>
              <w:t xml:space="preserve">Dual authorization for changes</w:t>
            </w:r>
          </w:p>
        </w:tc>
        <w:tc>
          <w:tcPr/>
          <w:p>
            <w:pPr>
              <w:pStyle w:val="Compact"/>
            </w:pPr>
            <w:r>
              <w:t xml:space="preserve">NOT ADDRESSED, structurally, for the same reason as AC-5: it requires two qualified individuals. Section 13 is where a solo maintainer records it, not section 10</w:t>
            </w:r>
          </w:p>
        </w:tc>
      </w:tr>
      <w:tr>
        <w:tc>
          <w:tcPr/>
          <w:p>
            <w:pPr>
              <w:pStyle w:val="Compact"/>
            </w:pPr>
            <w:r>
              <w:t xml:space="preserve">800-53 CP-2, CP-4</w:t>
            </w:r>
          </w:p>
        </w:tc>
        <w:tc>
          <w:tcPr/>
          <w:p>
            <w:pPr>
              <w:pStyle w:val="Compact"/>
            </w:pPr>
            <w:r>
              <w:t xml:space="preserve">A contingency plan for the system, and testing of it, with recovery time and recovery point objectives</w:t>
            </w:r>
          </w:p>
        </w:tc>
        <w:tc>
          <w:tcPr/>
          <w:p>
            <w:pPr>
              <w:pStyle w:val="Compact"/>
            </w:pPr>
            <w:r>
              <w:t xml:space="preserve">NOT ADDRESSED. Continuity of a running deployment is in the right-hand column of section 1's table, and claiming it would be the over-reach that table exists to prevent. Only the producer-side sliver crosses over -- backing up the producer's own evidence archive, in section 10 -- and section 10 states in the same paragraph that it does not cover a deployment's data</w:t>
            </w:r>
          </w:p>
        </w:tc>
      </w:tr>
      <w:tr>
        <w:tc>
          <w:tcPr/>
          <w:p>
            <w:pPr>
              <w:pStyle w:val="Compact"/>
            </w:pPr>
            <w:r>
              <w:t xml:space="preserve">800-53 IR-1 through IR-8 as a program</w:t>
            </w:r>
          </w:p>
        </w:tc>
        <w:tc>
          <w:tcPr/>
          <w:p>
            <w:pPr>
              <w:pStyle w:val="Compact"/>
            </w:pPr>
            <w:r>
              <w:t xml:space="preserve">An incident response capability with handling phases, training, testing and reporting obligations</w:t>
            </w:r>
          </w:p>
        </w:tc>
        <w:tc>
          <w:tcPr/>
          <w:p>
            <w:pPr>
              <w:pStyle w:val="Compact"/>
            </w:pPr>
            <w:r>
              <w:t xml:space="preserve">NOT ADDRESSED as a program. Section 12 carries the producer-scoped slice -- private intake, banded windows, root-cause review, coordinated disclosure, and the machinery exercised end to end at least once. Incidents are generated by running the software, which is the operator's column</w:t>
            </w:r>
          </w:p>
        </w:tc>
      </w:tr>
      <w:tr>
        <w:tc>
          <w:tcPr/>
          <w:p>
            <w:pPr>
              <w:pStyle w:val="Compact"/>
            </w:pPr>
            <w:r>
              <w:t xml:space="preserve">800-53 MA family</w:t>
            </w:r>
          </w:p>
        </w:tc>
        <w:tc>
          <w:tcPr/>
          <w:p>
            <w:pPr>
              <w:pStyle w:val="Compact"/>
            </w:pPr>
            <w:r>
              <w:t xml:space="preserve">Controlled maintenance, maintenance personnel, maintenance tools, nonlocal maintenance</w:t>
            </w:r>
          </w:p>
        </w:tc>
        <w:tc>
          <w:tcPr/>
          <w:p>
            <w:pPr>
              <w:pStyle w:val="Compact"/>
            </w:pPr>
            <w:r>
              <w:t xml:space="preserve">NOT ADDRESSED. It assumes an owned hardware estate serviced by identified technicians. There is no analogue in a topology of a workstation and a hosted runner, and forcing one produces a control satisfied by definition -- which is the failure section 5 names when it requires you to fire the failure class at a gate before crediting its green</w:t>
            </w:r>
          </w:p>
        </w:tc>
      </w:tr>
      <w:tr>
        <w:tc>
          <w:tcPr/>
          <w:p>
            <w:pPr>
              <w:pStyle w:val="Compact"/>
            </w:pPr>
            <w:r>
              <w:t xml:space="preserve">800-53 PE family</w:t>
            </w:r>
          </w:p>
        </w:tc>
        <w:tc>
          <w:tcPr/>
          <w:p>
            <w:pPr>
              <w:pStyle w:val="Compact"/>
            </w:pPr>
            <w:r>
              <w:t xml:space="preserve">Facility perimeter, physical access authorization and records, visitor control, environmental protection</w:t>
            </w:r>
          </w:p>
        </w:tc>
        <w:tc>
          <w:tcPr/>
          <w:p>
            <w:pPr>
              <w:pStyle w:val="Compact"/>
            </w:pPr>
            <w:r>
              <w:t xml:space="preserve">NOT ADDRESSED. A producing team has no facility to evidence any of it against. The part that would matter -- physical access to the machine the build runs on -- sits with the build service, which section 1's third-participant table names and does not claim</w:t>
            </w:r>
          </w:p>
        </w:tc>
      </w:tr>
      <w:tr>
        <w:tc>
          <w:tcPr/>
          <w:p>
            <w:pPr>
              <w:pStyle w:val="Compact"/>
            </w:pPr>
            <w:r>
              <w:t xml:space="preserve">800-53 PM family</w:t>
            </w:r>
          </w:p>
        </w:tc>
        <w:tc>
          <w:tcPr/>
          <w:p>
            <w:pPr>
              <w:pStyle w:val="Compact"/>
            </w:pPr>
            <w:r>
              <w:t xml:space="preserve">An organizational security program: senior officials, enterprise architecture, insider threat, a risk executive function</w:t>
            </w:r>
          </w:p>
        </w:tc>
        <w:tc>
          <w:tcPr/>
          <w:p>
            <w:pPr>
              <w:pStyle w:val="Compact"/>
            </w:pPr>
            <w:r>
              <w:t xml:space="preserve">NOT ADDRESSED. There is no small-team version of it. There is only a solo maintainer writing an organization chart that does not exist, which is the kind of fiction section 17's claim register is built to catch</w:t>
            </w:r>
          </w:p>
        </w:tc>
      </w:tr>
      <w:tr>
        <w:tc>
          <w:tcPr/>
          <w:p>
            <w:pPr>
              <w:pStyle w:val="Compact"/>
            </w:pPr>
            <w:r>
              <w:t xml:space="preserve">800-53 PS family</w:t>
            </w:r>
          </w:p>
        </w:tc>
        <w:tc>
          <w:tcPr/>
          <w:p>
            <w:pPr>
              <w:pStyle w:val="Compact"/>
            </w:pPr>
            <w:r>
              <w:t xml:space="preserve">Personnel screening, termination and transfer procedures, and formal sanctions for policy violation</w:t>
            </w:r>
          </w:p>
        </w:tc>
        <w:tc>
          <w:tcPr/>
          <w:p>
            <w:pPr>
              <w:pStyle w:val="Compact"/>
            </w:pPr>
            <w:r>
              <w:t xml:space="preserve">NOT ADDRESSED. Employment controls belong to the adopting organization. A one- or two-person team screening and sanctioning itself is theater, and naming it as satisfied would be worse than naming it absent</w:t>
            </w:r>
          </w:p>
        </w:tc>
      </w:tr>
      <w:tr>
        <w:tc>
          <w:tcPr/>
          <w:p>
            <w:pPr>
              <w:pStyle w:val="Compact"/>
            </w:pPr>
            <w:r>
              <w:t xml:space="preserve">800-53 RA-3, RA-9</w:t>
            </w:r>
          </w:p>
        </w:tc>
        <w:tc>
          <w:tcPr/>
          <w:p>
            <w:pPr>
              <w:pStyle w:val="Compact"/>
            </w:pPr>
            <w:r>
              <w:t xml:space="preserve">A standing risk assessment and a criticality analysis, as separate artifacts</w:t>
            </w:r>
          </w:p>
        </w:tc>
        <w:tc>
          <w:tcPr/>
          <w:p>
            <w:pPr>
              <w:pStyle w:val="Compact"/>
            </w:pPr>
            <w:r>
              <w:t xml:space="preserve">NOT ADDRESSED as standing artifacts. Section 2's per-boundary threat model carries the part a producer can act on, and it is better targeted because it is checkable one boundary at a time. A standalone risk assessment gives the release gate something to point at that nobody verified</w:t>
            </w:r>
          </w:p>
        </w:tc>
      </w:tr>
      <w:tr>
        <w:tc>
          <w:tcPr/>
          <w:p>
            <w:pPr>
              <w:pStyle w:val="Compact"/>
            </w:pPr>
            <w:r>
              <w:t xml:space="preserve">800-53 SR-11, and the physical supply-chain controls beside it</w:t>
            </w:r>
          </w:p>
        </w:tc>
        <w:tc>
          <w:tcPr/>
          <w:p>
            <w:pPr>
              <w:pStyle w:val="Compact"/>
            </w:pPr>
            <w:r>
              <w:t xml:space="preserve">Component authenticity and anti-counterfeit; shipping, handling, tamper checks and disposal</w:t>
            </w:r>
          </w:p>
        </w:tc>
        <w:tc>
          <w:tcPr/>
          <w:p>
            <w:pPr>
              <w:pStyle w:val="Compact"/>
            </w:pPr>
            <w:r>
              <w:t xml:space="preserve">NOT ADDRESSED. These are hardware and physical-supply-chain controls. The software supply-chain content a producer can actually evidence -- provenance, attestation over the digest, component inventory, published digest manifest, pinned toolchain -- is in section 10 and is stronger there than a mapping to these would make it</w:t>
            </w:r>
          </w:p>
        </w:tc>
      </w:tr>
      <w:tr>
        <w:tc>
          <w:tcPr/>
          <w:p>
            <w:pPr>
              <w:pStyle w:val="Compact"/>
            </w:pPr>
            <w:r>
              <w:t xml:space="preserve">Third-party agreements</w:t>
            </w:r>
          </w:p>
        </w:tc>
        <w:tc>
          <w:tcPr/>
          <w:p>
            <w:pPr>
              <w:pStyle w:val="Compact"/>
            </w:pPr>
            <w:r>
              <w:t xml:space="preserve">Contractual terms binding a service that handles your data, with defined obligations and remedies</w:t>
            </w:r>
          </w:p>
        </w:tc>
        <w:tc>
          <w:tcPr/>
          <w:p>
            <w:pPr>
              <w:pStyle w:val="Compact"/>
            </w:pPr>
            <w:r>
              <w:t xml:space="preserve">NOT ADDRESSED. The third-participant table records the trust and the failure mode; it does not attempt an agreement. Negotiated terms are the adopting organization's instrument, and a small team on a provider's standard terms has nothing to negotiate -- writing a clause it cannot enforce would be a compensating control resting on a false premise</w:t>
            </w:r>
          </w:p>
        </w:tc>
      </w:tr>
      <w:tr>
        <w:tc>
          <w:tcPr/>
          <w:p>
            <w:pPr>
              <w:pStyle w:val="Compact"/>
            </w:pPr>
            <w:r>
              <w:t xml:space="preserve">Assessment determination statements</w:t>
            </w:r>
          </w:p>
        </w:tc>
        <w:tc>
          <w:tcPr/>
          <w:p>
            <w:pPr>
              <w:pStyle w:val="Compact"/>
            </w:pPr>
            <w:r>
              <w:t xml:space="preserve">Per-control determination statements, assessed by examine, interview and test methods</w:t>
            </w:r>
          </w:p>
        </w:tc>
        <w:tc>
          <w:tcPr/>
          <w:p>
            <w:pPr>
              <w:pStyle w:val="Compact"/>
            </w:pPr>
            <w:r>
              <w:t xml:space="preserve">NOT ADDRESSED, and deliberately not imported. Converting a standard a team builds to into an audit program a team is subjected to changes what the document is for. Section 15 points at this site's own assessment method and is explicit that a second procedure must not be built beside it</w:t>
            </w:r>
          </w:p>
        </w:tc>
      </w:tr>
      <w:tr>
        <w:tc>
          <w:tcPr/>
          <w:p>
            <w:pPr>
              <w:pStyle w:val="Compact"/>
            </w:pPr>
            <w:r>
              <w:t xml:space="preserve">System categorization</w:t>
            </w:r>
          </w:p>
        </w:tc>
        <w:tc>
          <w:tcPr/>
          <w:p>
            <w:pPr>
              <w:pStyle w:val="Compact"/>
            </w:pPr>
            <w:r>
              <w:t xml:space="preserve">Assign an overall impact level to a system</w:t>
            </w:r>
          </w:p>
        </w:tc>
        <w:tc>
          <w:tcPr/>
          <w:p>
            <w:pPr>
              <w:pStyle w:val="Compact"/>
            </w:pPr>
            <w:r>
              <w:t xml:space="preserve">NOT ADDRESSED, and it would be over-reach to try. This document categorizes data classes, which are a property of the code it ships. The deployed system belongs to the adopting organization and its category is theirs to assign, per section 1's split and section 15's correction about not gating somebody else's deployment</w:t>
            </w:r>
          </w:p>
        </w:tc>
      </w:tr>
      <w:tr>
        <w:tc>
          <w:tcPr/>
          <w:p>
            <w:pPr>
              <w:pStyle w:val="Compact"/>
            </w:pPr>
            <w:r>
              <w:t xml:space="preserve">SP 800-115 technique and tooling inventory</w:t>
            </w:r>
          </w:p>
        </w:tc>
        <w:tc>
          <w:tcPr/>
          <w:p>
            <w:pPr>
              <w:pStyle w:val="Compact"/>
            </w:pPr>
            <w:r>
              <w:t xml:space="preserve">Named scanning, sniffing, password-cracking and review techniques</w:t>
            </w:r>
          </w:p>
        </w:tc>
        <w:tc>
          <w:tcPr/>
          <w:p>
            <w:pPr>
              <w:pStyle w:val="Compact"/>
            </w:pPr>
            <w:r>
              <w:t xml:space="preserve">NOT ADDRESSED, and not borrowed. The publication is from 2008 and only its process material is durable, which is why the source list above scopes it to process and nothing here cites it for technique</w:t>
            </w:r>
          </w:p>
        </w:tc>
      </w:tr>
      <w:tr>
        <w:tc>
          <w:tcPr/>
          <w:p>
            <w:pPr>
              <w:pStyle w:val="Compact"/>
            </w:pPr>
            <w:r>
              <w:t xml:space="preserve">Social engineering testing</w:t>
            </w:r>
          </w:p>
        </w:tc>
        <w:tc>
          <w:tcPr/>
          <w:p>
            <w:pPr>
              <w:pStyle w:val="Compact"/>
            </w:pPr>
            <w:r>
              <w:t xml:space="preserve">Phishing simulation, pretexting, and physical-access attempts against people</w:t>
            </w:r>
          </w:p>
        </w:tc>
        <w:tc>
          <w:tcPr/>
          <w:p>
            <w:pPr>
              <w:pStyle w:val="Compact"/>
            </w:pPr>
            <w:r>
              <w:t xml:space="preserve">NOT ADDRESSED as a control. Its target is an organization's staff and premises, not a build. Section 15 requires the engagement scope to state what is explicitly out of scope, which is the one place a decision either way gets recorded rather than assumed</w:t>
            </w:r>
          </w:p>
        </w:tc>
      </w:tr>
    </w:tbl>
    <w:p>
      <w:r>
        <w:pict>
          <v:rect style="width:0;height:1.5pt" o:hralign="center" o:hrstd="t" o:hr="t"/>
        </w:pict>
      </w:r>
    </w:p>
    <w:bookmarkEnd w:id="70"/>
    <w:bookmarkStart w:id="71" w:name="sources"/>
    <w:p>
      <w:pPr>
        <w:pStyle w:val="Heading2"/>
      </w:pPr>
      <w:r>
        <w:t xml:space="preserve">Sources</w:t>
      </w:r>
    </w:p>
    <w:p>
      <w:pPr>
        <w:pStyle w:val="FirstParagraph"/>
      </w:pPr>
      <w:r>
        <w:t xml:space="preserve">The record of record for the four publications named at the top. Status, date, and the date the</w:t>
      </w:r>
      <w:r>
        <w:t xml:space="preserve"> </w:t>
      </w:r>
      <w:r>
        <w:t xml:space="preserve">status was last checked live here and nowhere else on the page, so a re-check is one edit. The one</w:t>
      </w:r>
      <w:r>
        <w:t xml:space="preserve"> </w:t>
      </w:r>
      <w:r>
        <w:t xml:space="preserve">place two of these dates appear again is the version-trap paragraph near the top, where the two</w:t>
      </w:r>
      <w:r>
        <w:t xml:space="preserve"> </w:t>
      </w:r>
      <w:r>
        <w:t xml:space="preserve">disagreeing dates</w:t>
      </w:r>
      <w:r>
        <w:t xml:space="preserve"> </w:t>
      </w:r>
      <w:r>
        <w:rPr>
          <w:i/>
          <w:iCs/>
        </w:rPr>
        <w:t xml:space="preserve">are</w:t>
      </w:r>
      <w:r>
        <w:t xml:space="preserve"> </w:t>
      </w:r>
      <w:r>
        <w:t xml:space="preserve">the argument rather than a status record.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Short code</w:t>
            </w:r>
          </w:p>
        </w:tc>
        <w:tc>
          <w:tcPr/>
          <w:p>
            <w:pPr>
              <w:pStyle w:val="Compact"/>
            </w:pPr>
            <w:r>
              <w:t xml:space="preserve">Publication</w:t>
            </w:r>
          </w:p>
        </w:tc>
        <w:tc>
          <w:tcPr/>
          <w:p>
            <w:pPr>
              <w:pStyle w:val="Compact"/>
            </w:pPr>
            <w:r>
              <w:t xml:space="preserve">Status and date</w:t>
            </w:r>
          </w:p>
        </w:tc>
        <w:tc>
          <w:tcPr/>
          <w:p>
            <w:pPr>
              <w:pStyle w:val="Compact"/>
            </w:pPr>
            <w:r>
              <w:t xml:space="preserve">What it uniquely contributes</w:t>
            </w:r>
          </w:p>
        </w:tc>
        <w:tc>
          <w:tcPr/>
          <w:p>
            <w:pPr>
              <w:pStyle w:val="Compact"/>
            </w:pPr>
            <w:r>
              <w:t xml:space="preserve">Status last checked</w:t>
            </w:r>
          </w:p>
        </w:tc>
      </w:tr>
      <w:tr>
        <w:tc>
          <w:tcPr/>
          <w:p>
            <w:pPr>
              <w:pStyle w:val="Compact"/>
            </w:pPr>
            <w:r>
              <w:rPr>
                <w:rStyle w:val="VerbatimChar"/>
              </w:rPr>
              <w:t xml:space="preserve">SSDF &lt;practice&gt;</w:t>
            </w:r>
          </w:p>
        </w:tc>
        <w:tc>
          <w:tcPr/>
          <w:p>
            <w:pPr>
              <w:pStyle w:val="Compact"/>
            </w:pPr>
            <w:r>
              <w:t xml:space="preserve">NIST SP 800-218 v1.1, Secure Software Development Framework</w:t>
            </w:r>
          </w:p>
        </w:tc>
        <w:tc>
          <w:tcPr/>
          <w:p>
            <w:pPr>
              <w:pStyle w:val="Compact"/>
            </w:pPr>
            <w:r>
              <w:t xml:space="preserve">Final, February 2022</w:t>
            </w:r>
          </w:p>
        </w:tc>
        <w:tc>
          <w:tcPr/>
          <w:p>
            <w:pPr>
              <w:pStyle w:val="Compact"/>
            </w:pPr>
            <w:r>
              <w:t xml:space="preserve">The producer-facing outcome layer. PW.8 (test executable code, including fuzzing tied to intended use), PO.3 (define and maintain the toolchains) and PO.5 (a secure environment for developing and building) are the outcomes standing behind section 2's malformed-input harness and section 10's build-environment rules</w:t>
            </w:r>
          </w:p>
        </w:tc>
        <w:tc>
          <w:tcPr/>
          <w:p>
            <w:pPr>
              <w:pStyle w:val="Compact"/>
            </w:pPr>
            <w:r>
              <w:t xml:space="preserve">2026-08-06</w:t>
            </w:r>
          </w:p>
        </w:tc>
      </w:tr>
      <w:tr>
        <w:tc>
          <w:tcPr/>
          <w:p>
            <w:pPr>
              <w:pStyle w:val="Compact"/>
            </w:pPr>
            <w:r>
              <w:rPr>
                <w:rStyle w:val="VerbatimChar"/>
              </w:rPr>
              <w:t xml:space="preserve">800-53 &lt;CONTROL&gt;</w:t>
            </w:r>
          </w:p>
        </w:tc>
        <w:tc>
          <w:tcPr/>
          <w:p>
            <w:pPr>
              <w:pStyle w:val="Compact"/>
            </w:pPr>
            <w:r>
              <w:t xml:space="preserve">NIST SP 800-53 Rev. 5, Security and Privacy Controls for Information Systems and Organizations, as maintained by Release 5.2.0</w:t>
            </w:r>
          </w:p>
        </w:tc>
        <w:tc>
          <w:tcPr/>
          <w:p>
            <w:pPr>
              <w:pStyle w:val="Compact"/>
            </w:pPr>
            <w:r>
              <w:t xml:space="preserve">Rev. 5 final, content dated September 2020 with updates as of 2020-12-10; Release 5.2.0 issued 2025-08-27</w:t>
            </w:r>
          </w:p>
        </w:tc>
        <w:tc>
          <w:tcPr/>
          <w:p>
            <w:pPr>
              <w:pStyle w:val="Compact"/>
            </w:pPr>
            <w:r>
              <w:t xml:space="preserve">Quotable control text, cited by identifier on the rule that restates it. Controls held out of the prose by the one-mark-per-rule cap, recorded here instead: SA-11 base, SA-11d, SA-11e, CM-5(1), SC-28(1), SC-28(3), SI-12, CA-2d, CA-7c, CA-8, CP-9(1), CP-9(2), AU-6(3)</w:t>
            </w:r>
          </w:p>
        </w:tc>
        <w:tc>
          <w:tcPr/>
          <w:p>
            <w:pPr>
              <w:pStyle w:val="Compact"/>
            </w:pPr>
            <w:r>
              <w:t xml:space="preserve">2026-08-06</w:t>
            </w:r>
          </w:p>
        </w:tc>
      </w:tr>
      <w:tr>
        <w:tc>
          <w:tcPr/>
          <w:p>
            <w:pPr>
              <w:pStyle w:val="Compact"/>
            </w:pPr>
            <w:r>
              <w:rPr>
                <w:rStyle w:val="VerbatimChar"/>
              </w:rPr>
              <w:t xml:space="preserve">800-115 Appendix B</w:t>
            </w:r>
            <w:r>
              <w:t xml:space="preserve">,</w:t>
            </w:r>
            <w:r>
              <w:t xml:space="preserve"> </w:t>
            </w:r>
            <w:r>
              <w:rPr>
                <w:rStyle w:val="VerbatimChar"/>
              </w:rPr>
              <w:t xml:space="preserve">800-115 section 8.3</w:t>
            </w:r>
          </w:p>
        </w:tc>
        <w:tc>
          <w:tcPr/>
          <w:p>
            <w:pPr>
              <w:pStyle w:val="Compact"/>
            </w:pPr>
            <w:r>
              <w:t xml:space="preserve">NIST SP 800-115, Technical Guide to Information Security Testing and Assessment</w:t>
            </w:r>
          </w:p>
        </w:tc>
        <w:tc>
          <w:tcPr/>
          <w:p>
            <w:pPr>
              <w:pStyle w:val="Compact"/>
            </w:pPr>
            <w:r>
              <w:t xml:space="preserve">Final, September 2008</w:t>
            </w:r>
          </w:p>
        </w:tc>
        <w:tc>
          <w:tcPr/>
          <w:p>
            <w:pPr>
              <w:pStyle w:val="Compact"/>
            </w:pPr>
            <w:r>
              <w:t xml:space="preserve">Process material only: the rules-of-engagement template (Appendix B) and the caveat that a retest verifies a fix only if the confirming run mirrors the original (section 8.3)</w:t>
            </w:r>
          </w:p>
        </w:tc>
        <w:tc>
          <w:tcPr/>
          <w:p>
            <w:pPr>
              <w:pStyle w:val="Compact"/>
            </w:pPr>
            <w:r>
              <w:t xml:space="preserve">2026-08-06</w:t>
            </w:r>
          </w:p>
        </w:tc>
      </w:tr>
      <w:tr>
        <w:tc>
          <w:tcPr/>
          <w:p>
            <w:pPr>
              <w:pStyle w:val="Compact"/>
            </w:pPr>
            <w:r>
              <w:rPr>
                <w:rStyle w:val="VerbatimChar"/>
              </w:rPr>
              <w:t xml:space="preserve">FIPS 199</w:t>
            </w:r>
          </w:p>
        </w:tc>
        <w:tc>
          <w:tcPr/>
          <w:p>
            <w:pPr>
              <w:pStyle w:val="Compact"/>
            </w:pPr>
            <w:r>
              <w:t xml:space="preserve">FIPS 199, Standards for Security Categorization of Federal Information and Information Systems</w:t>
            </w:r>
          </w:p>
        </w:tc>
        <w:tc>
          <w:tcPr/>
          <w:p>
            <w:pPr>
              <w:pStyle w:val="Compact"/>
            </w:pPr>
            <w:r>
              <w:t xml:space="preserve">Final, February 2004</w:t>
            </w:r>
          </w:p>
        </w:tc>
        <w:tc>
          <w:tcPr/>
          <w:p>
            <w:pPr>
              <w:pStyle w:val="Compact"/>
            </w:pPr>
            <w:r>
              <w:t xml:space="preserve">Three security objectives -- confidentiality, integrity, availability -- at three impact levels, and the high-water-mark roll-up that rates a collection by the highest class it holds</w:t>
            </w:r>
          </w:p>
        </w:tc>
        <w:tc>
          <w:tcPr/>
          <w:p>
            <w:pPr>
              <w:pStyle w:val="Compact"/>
            </w:pPr>
            <w:r>
              <w:t xml:space="preserve">2026-08-06</w:t>
            </w:r>
          </w:p>
        </w:tc>
      </w:tr>
    </w:tbl>
    <w:p>
      <w:pPr>
        <w:pStyle w:val="BodyText"/>
      </w:pPr>
      <w:r>
        <w:t xml:space="preserve">A publication's presence here says only that a rule on this page borrowed from it. It is not a claim</w:t>
      </w:r>
      <w:r>
        <w:t xml:space="preserve"> </w:t>
      </w:r>
      <w:r>
        <w:t xml:space="preserve">of conformance with any of them, and none of them certify anything -- see section 17.</w:t>
      </w:r>
    </w:p>
    <w:p>
      <w:r>
        <w:pict>
          <v:rect style="width:0;height:1.5pt" o:hralign="center" o:hrstd="t" o:hr="t"/>
        </w:pict>
      </w:r>
    </w:p>
    <w:bookmarkEnd w:id="71"/>
    <w:bookmarkStart w:id="75" w:name="related"/>
    <w:p>
      <w:pPr>
        <w:pStyle w:val="Heading2"/>
      </w:pPr>
      <w:r>
        <w:t xml:space="preserve">Related</w:t>
      </w:r>
    </w:p>
    <w:p>
      <w:pPr>
        <w:pStyle w:val="Compact"/>
        <w:numPr>
          <w:ilvl w:val="0"/>
          <w:numId w:val="1021"/>
        </w:numPr>
      </w:pPr>
      <w:hyperlink r:id="rId26">
        <w:r>
          <w:rPr>
            <w:rStyle w:val="Hyperlink"/>
          </w:rPr>
          <w:t xml:space="preserve">CI and standards</w:t>
        </w:r>
      </w:hyperlink>
      <w:r>
        <w:t xml:space="preserve"> </w:t>
      </w:r>
      <w:r>
        <w:t xml:space="preserve">-- blocking versus advisory coverage, receipts, claim</w:t>
      </w:r>
      <w:r>
        <w:t xml:space="preserve"> </w:t>
      </w:r>
      <w:r>
        <w:t xml:space="preserve">honesty, gate design, and the general metric evidence this document does not restate</w:t>
      </w:r>
    </w:p>
    <w:p>
      <w:pPr>
        <w:pStyle w:val="Compact"/>
        <w:numPr>
          <w:ilvl w:val="0"/>
          <w:numId w:val="1021"/>
        </w:numPr>
      </w:pPr>
      <w:hyperlink r:id="rId33">
        <w:r>
          <w:rPr>
            <w:rStyle w:val="Hyperlink"/>
          </w:rPr>
          <w:t xml:space="preserve">The leak gate</w:t>
        </w:r>
      </w:hyperlink>
      <w:r>
        <w:t xml:space="preserve"> </w:t>
      </w:r>
      <w:r>
        <w:t xml:space="preserve">-- fail-closed secret and forbidden-content scanning, and the three</w:t>
      </w:r>
      <w:r>
        <w:t xml:space="preserve"> </w:t>
      </w:r>
      <w:r>
        <w:t xml:space="preserve">ways a scanner lies</w:t>
      </w:r>
    </w:p>
    <w:p>
      <w:pPr>
        <w:pStyle w:val="Compact"/>
        <w:numPr>
          <w:ilvl w:val="0"/>
          <w:numId w:val="1021"/>
        </w:numPr>
      </w:pPr>
      <w:hyperlink r:id="rId57">
        <w:r>
          <w:rPr>
            <w:rStyle w:val="Hyperlink"/>
          </w:rPr>
          <w:t xml:space="preserve">Dependency and artifact integrity</w:t>
        </w:r>
      </w:hyperlink>
      <w:r>
        <w:t xml:space="preserve"> </w:t>
      </w:r>
      <w:r>
        <w:t xml:space="preserve">-- the consuming half of an advisory,</w:t>
      </w:r>
      <w:r>
        <w:t xml:space="preserve"> </w:t>
      </w:r>
      <w:r>
        <w:t xml:space="preserve">per-manifest audit nets, and the pinned resolved graph</w:t>
      </w:r>
    </w:p>
    <w:p>
      <w:pPr>
        <w:pStyle w:val="Compact"/>
        <w:numPr>
          <w:ilvl w:val="0"/>
          <w:numId w:val="1021"/>
        </w:numPr>
      </w:pPr>
      <w:hyperlink r:id="rId72">
        <w:r>
          <w:rPr>
            <w:rStyle w:val="Hyperlink"/>
          </w:rPr>
          <w:t xml:space="preserve">What to ask a software vendor for</w:t>
        </w:r>
      </w:hyperlink>
      <w:r>
        <w:t xml:space="preserve"> </w:t>
      </w:r>
      <w:r>
        <w:t xml:space="preserve">-- the buyer's side of section 12, what</w:t>
      </w:r>
      <w:r>
        <w:t xml:space="preserve"> </w:t>
      </w:r>
      <w:r>
        <w:t xml:space="preserve">each item of evidence proves, and why organization-layer evidence is not software-layer evidence</w:t>
      </w:r>
    </w:p>
    <w:p>
      <w:pPr>
        <w:pStyle w:val="Compact"/>
        <w:numPr>
          <w:ilvl w:val="0"/>
          <w:numId w:val="1021"/>
        </w:numPr>
      </w:pPr>
      <w:hyperlink r:id="rId62">
        <w:r>
          <w:rPr>
            <w:rStyle w:val="Hyperlink"/>
          </w:rPr>
          <w:t xml:space="preserve">Running a large security-standard assessment with AI agents</w:t>
        </w:r>
      </w:hyperlink>
      <w:r>
        <w:t xml:space="preserve"> </w:t>
      </w:r>
      <w:r>
        <w:t xml:space="preserve">-- verdict</w:t>
      </w:r>
      <w:r>
        <w:t xml:space="preserve"> </w:t>
      </w:r>
      <w:r>
        <w:t xml:space="preserve">vocabulary, evidence anchors, corpus pinning, and reading a movement in a score</w:t>
      </w:r>
    </w:p>
    <w:p>
      <w:pPr>
        <w:pStyle w:val="Compact"/>
        <w:numPr>
          <w:ilvl w:val="0"/>
          <w:numId w:val="1021"/>
        </w:numPr>
      </w:pPr>
      <w:hyperlink r:id="rId73">
        <w:r>
          <w:rPr>
            <w:rStyle w:val="Hyperlink"/>
          </w:rPr>
          <w:t xml:space="preserve">Case study: auditing a multi-session estate as one system</w:t>
        </w:r>
      </w:hyperlink>
      <w:r>
        <w:t xml:space="preserve"> </w:t>
      </w:r>
      <w:r>
        <w:t xml:space="preserve">-- proving</w:t>
      </w:r>
      <w:r>
        <w:t xml:space="preserve"> </w:t>
      </w:r>
      <w:r>
        <w:t xml:space="preserve">a fix by deliberate mutation of the shipped artifact</w:t>
      </w:r>
    </w:p>
    <w:p>
      <w:pPr>
        <w:pStyle w:val="Compact"/>
        <w:numPr>
          <w:ilvl w:val="0"/>
          <w:numId w:val="1021"/>
        </w:numPr>
      </w:pPr>
      <w:hyperlink r:id="rId74">
        <w:r>
          <w:rPr>
            <w:rStyle w:val="Hyperlink"/>
          </w:rPr>
          <w:t xml:space="preserve">Tips and tricks</w:t>
        </w:r>
      </w:hyperlink>
      <w:r>
        <w:t xml:space="preserve"> </w:t>
      </w:r>
      <w:r>
        <w:t xml:space="preserve">-- section 4 on writing a guardrail, section 5 on measuring</w:t>
      </w:r>
      <w:r>
        <w:t xml:space="preserve"> </w:t>
      </w:r>
      <w:r>
        <w:t xml:space="preserve">whether it works</w:t>
      </w:r>
    </w:p>
    <w:bookmarkEnd w:id="75"/>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2" Target="../ASVS-ASSESSMENT.md" TargetMode="External" /><Relationship Type="http://schemas.openxmlformats.org/officeDocument/2006/relationships/hyperlink" Id="rId73" Target="../CASE-STUDY-drift-audit.md" TargetMode="External" /><Relationship Type="http://schemas.openxmlformats.org/officeDocument/2006/relationships/hyperlink" Id="rId26" Target="../CI-AND-STANDARDS.md" TargetMode="External" /><Relationship Type="http://schemas.openxmlformats.org/officeDocument/2006/relationships/hyperlink" Id="rId33" Target="../LEAK-GATE.md" TargetMode="External" /><Relationship Type="http://schemas.openxmlformats.org/officeDocument/2006/relationships/hyperlink" Id="rId74" Target="../TIPS-AND-TRICKS.md" TargetMode="External" /><Relationship Type="http://schemas.openxmlformats.org/officeDocument/2006/relationships/hyperlink" Id="rId29" Target="CODE-QUALITY.md#the-evidence-and-the-hedge-each-citation-must-carry" TargetMode="External" /><Relationship Type="http://schemas.openxmlformats.org/officeDocument/2006/relationships/hyperlink" Id="rId57" Target="DEPENDENCY-INTEGRITY.md" TargetMode="External" /><Relationship Type="http://schemas.openxmlformats.org/officeDocument/2006/relationships/hyperlink" Id="rId72" Target="DILIGENCE-PACKET.md" TargetMode="External" /><Relationship Type="http://schemas.openxmlformats.org/officeDocument/2006/relationships/hyperlink" Id="rId11" Target="OVERVIEW.md#the-files" TargetMode="External" /><Relationship Type="http://schemas.openxmlformats.org/officeDocument/2006/relationships/hyperlink" Id="rId9" Target="https://raw.githubusercontent.com/wshallwshall/claude-multisession/main/docs/standards/SECURE-DEVELOPMENT.md" TargetMode="External" /><Relationship Type="http://schemas.openxmlformats.org/officeDocument/2006/relationships/hyperlink" Id="rId10" Target="https://raw.githubusercontent.com/wshallwshall/claude-multisession/main/docs/standards/word/SECURE-DEVELOPMENT.docx" TargetMode="External" /></Relationships>
</file>

<file path=word/_rels/footnotes.xml.rels><?xml version="1.0" encoding="UTF-8"?><Relationships xmlns="http://schemas.openxmlformats.org/package/2006/relationships"><Relationship Type="http://schemas.openxmlformats.org/officeDocument/2006/relationships/hyperlink" Id="rId62" Target="../ASVS-ASSESSMENT.md" TargetMode="External" /><Relationship Type="http://schemas.openxmlformats.org/officeDocument/2006/relationships/hyperlink" Id="rId73" Target="../CASE-STUDY-drift-audit.md" TargetMode="External" /><Relationship Type="http://schemas.openxmlformats.org/officeDocument/2006/relationships/hyperlink" Id="rId26" Target="../CI-AND-STANDARDS.md" TargetMode="External" /><Relationship Type="http://schemas.openxmlformats.org/officeDocument/2006/relationships/hyperlink" Id="rId33" Target="../LEAK-GATE.md" TargetMode="External" /><Relationship Type="http://schemas.openxmlformats.org/officeDocument/2006/relationships/hyperlink" Id="rId74" Target="../TIPS-AND-TRICKS.md" TargetMode="External" /><Relationship Type="http://schemas.openxmlformats.org/officeDocument/2006/relationships/hyperlink" Id="rId29" Target="CODE-QUALITY.md#the-evidence-and-the-hedge-each-citation-must-carry" TargetMode="External" /><Relationship Type="http://schemas.openxmlformats.org/officeDocument/2006/relationships/hyperlink" Id="rId57" Target="DEPENDENCY-INTEGRITY.md" TargetMode="External" /><Relationship Type="http://schemas.openxmlformats.org/officeDocument/2006/relationships/hyperlink" Id="rId72" Target="DILIGENCE-PACKET.md" TargetMode="External" /><Relationship Type="http://schemas.openxmlformats.org/officeDocument/2006/relationships/hyperlink" Id="rId11" Target="OVERVIEW.md#the-files" TargetMode="External" /><Relationship Type="http://schemas.openxmlformats.org/officeDocument/2006/relationships/hyperlink" Id="rId9" Target="https://raw.githubusercontent.com/wshallwshall/claude-multisession/main/docs/standards/SECURE-DEVELOPMENT.md" TargetMode="External" /><Relationship Type="http://schemas.openxmlformats.org/officeDocument/2006/relationships/hyperlink" Id="rId10" Target="https://raw.githubusercontent.com/wshallwshall/claude-multisession/main/docs/standards/word/SECURE-DEVELOPMENT.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2026-08-06T18:03:30Z</dcterms:created>
  <dcterms:modified xsi:type="dcterms:W3CDTF">2026-08-06T18:03:30Z</dcterms:modified>
</cp:coreProperties>
</file>

<file path=docProps/custom.xml><?xml version="1.0" encoding="utf-8"?>
<Properties xmlns="http://schemas.openxmlformats.org/officeDocument/2006/custom-properties" xmlns:vt="http://schemas.openxmlformats.org/officeDocument/2006/docPropsVTypes"/>
</file>