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Consult this while working, already knowing what you are looking for.</w:t>
      </w:r>
      <w:r>
        <w:t xml:space="preserve"> </w:t>
      </w:r>
      <w:r>
        <w:t xml:space="preserve">If</w:t>
      </w:r>
      <w:r>
        <w:t xml:space="preserve"> </w:t>
      </w:r>
      <w:r>
        <w:t xml:space="preserve">instead you are trying to work out which of these applies to you at all, read</w:t>
      </w:r>
      <w:r>
        <w:t xml:space="preserve"> </w:t>
      </w:r>
      <w:hyperlink r:id="rId9">
        <w:r>
          <w:rPr>
            <w:rStyle w:val="Hyperlink"/>
          </w:rPr>
          <w:t xml:space="preserve">the guide</w:t>
        </w:r>
      </w:hyperlink>
      <w:r>
        <w:t xml:space="preserve"> </w:t>
      </w:r>
      <w:r>
        <w:t xml:space="preserve">-- it is the same facts organized around your situation rather</w:t>
      </w:r>
      <w:r>
        <w:t xml:space="preserve"> </w:t>
      </w:r>
      <w:r>
        <w:t xml:space="preserve">than around the documents, and it carries an interactive selector on the served site.</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pPr>
        <w:pStyle w:val="FirstParagraph"/>
      </w:pPr>
      <w:r>
        <w:rPr>
          <w:b/>
          <w:bCs/>
        </w:rPr>
        <w:t xml:space="preserve">Every status below was checked on 2026-08-06, and that date is stated once rather than repeated in</w:t>
      </w:r>
      <w:r>
        <w:rPr>
          <w:b/>
          <w:bCs/>
        </w:rPr>
        <w:t xml:space="preserve"> </w:t>
      </w:r>
      <w:r>
        <w:rPr>
          <w:b/>
          <w:bCs/>
        </w:rPr>
        <w:t xml:space="preserve">every cell.</w:t>
      </w:r>
      <w:r>
        <w:t xml:space="preserve"> </w:t>
      </w:r>
      <w:r>
        <w:t xml:space="preserve">Where a cell says "the check date", it means that date. This is a snapshot, not a</w:t>
      </w:r>
      <w:r>
        <w:t xml:space="preserve"> </w:t>
      </w:r>
      <w:r>
        <w:t xml:space="preserve">maintained register: several of these facts changed within the twelve months before it, and some will</w:t>
      </w:r>
      <w:r>
        <w:t xml:space="preserve"> </w:t>
      </w:r>
      <w:r>
        <w:t xml:space="preserve">have changed since.</w:t>
      </w:r>
    </w:p>
    <w:p>
      <w:pPr>
        <w:pStyle w:val="BodyText"/>
      </w:pPr>
      <w:r>
        <w:rPr>
          <w:b/>
          <w:bCs/>
        </w:rPr>
        <w:t xml:space="preserve">At least these items.</w:t>
      </w:r>
      <w:r>
        <w:t xml:space="preserve"> </w:t>
      </w:r>
      <w:r>
        <w:t xml:space="preserve">This is not a complete map of the security standards landscape and does not</w:t>
      </w:r>
      <w:r>
        <w:t xml:space="preserve"> </w:t>
      </w:r>
      <w:r>
        <w:t xml:space="preserve">claim to be.</w:t>
      </w:r>
      <w:r>
        <w:t xml:space="preserve"> </w:t>
      </w:r>
      <w:hyperlink r:id="rId13">
        <w:r>
          <w:rPr>
            <w:rStyle w:val="Hyperlink"/>
          </w:rPr>
          <w:t xml:space="preserve">What the guide did not assess</w:t>
        </w:r>
      </w:hyperlink>
      <w:r>
        <w:t xml:space="preserve"> </w:t>
      </w:r>
      <w:r>
        <w:t xml:space="preserve">names what is missing on purpose, and you should not read its silence as coverage. Nothing here is</w:t>
      </w:r>
      <w:r>
        <w:t xml:space="preserve"> </w:t>
      </w:r>
      <w:r>
        <w:t xml:space="preserve">legal advice, and nothing here says that any of it binds your organization -- a clause number</w:t>
      </w:r>
      <w:r>
        <w:t xml:space="preserve"> </w:t>
      </w:r>
      <w:r>
        <w:t xml:space="preserve">decides that, and applying to your situation is not the same thing as binding you.</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The cut is explained in</w:t>
      </w:r>
      <w:r>
        <w:t xml:space="preserve"> </w:t>
      </w:r>
      <w:hyperlink r:id="rId14">
        <w:r>
          <w:rPr>
            <w:rStyle w:val="Hyperlink"/>
          </w:rPr>
          <w:t xml:space="preserve">the guide</w:t>
        </w:r>
      </w:hyperlink>
      <w:r>
        <w:t xml:space="preserve">. Every item appears in exactly one</w:t>
      </w:r>
      <w:r>
        <w:t xml:space="preserve"> </w:t>
      </w:r>
      <w:r>
        <w:t xml:space="preserve">table.</w:t>
      </w:r>
    </w:p>
    <w:p>
      <w:r>
        <w:pict>
          <v:rect style="width:0;height:1.5pt" o:hralign="center" o:hrstd="t" o:hr="t"/>
        </w:pict>
      </w:r>
    </w:p>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addressed-to-a-software-producer"/>
    <w:p>
      <w:pPr>
        <w:pStyle w:val="Heading2"/>
      </w:pPr>
      <w:r>
        <w:t xml:space="preserve">Addressed to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5" w:name="Xca46a784b3c18f335cec574b4b1904cc96a4ae4"/>
    <w:p>
      <w:pPr>
        <w:pStyle w:val="Heading2"/>
      </w:pPr>
      <w:r>
        <w:t xml:space="preserve">Addressed to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in</w:t>
      </w:r>
      <w:r>
        <w:t xml:space="preserve"> </w:t>
      </w:r>
      <w:hyperlink r:id="rId20">
        <w:r>
          <w:rPr>
            <w:rStyle w:val="Hyperlink"/>
          </w:rPr>
          <w:t xml:space="preserve">the guide</w:t>
        </w:r>
      </w:hyperlink>
      <w:r>
        <w:t xml:space="preserve">.</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leveraging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addressed-to-an-assessor"/>
    <w:p>
      <w:pPr>
        <w:pStyle w:val="Heading2"/>
      </w:pPr>
      <w:r>
        <w:t xml:space="preserve">Addressed to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29"/>
    <w:bookmarkStart w:id="31" w:name="where-to-re-check-a-status"/>
    <w:p>
      <w:pPr>
        <w:pStyle w:val="Heading2"/>
      </w:pPr>
      <w:r>
        <w:t xml:space="preserve">Where to re-check a status</w:t>
      </w:r>
    </w:p>
    <w:p>
      <w:pPr>
        <w:pStyle w:val="FirstParagraph"/>
      </w:pPr>
      <w:r>
        <w:t xml:space="preserve">A status is authoritative in at least four places, listed with their live examples in</w:t>
      </w:r>
      <w:r>
        <w:t xml:space="preserve"> </w:t>
      </w:r>
      <w:hyperlink r:id="rId30">
        <w:r>
          <w:rPr>
            <w:rStyle w:val="Hyperlink"/>
          </w:rPr>
          <w:t xml:space="preserve">the guide</w:t>
        </w:r>
      </w:hyperlink>
      <w:r>
        <w:t xml:space="preserve">: the publisher's own</w:t>
      </w:r>
      <w:r>
        <w:t xml:space="preserve"> </w:t>
      </w:r>
      <w:r>
        <w:t xml:space="preserve">publications listing, the program's own definitions page, the clause plus any deviation that modifies</w:t>
      </w:r>
      <w:r>
        <w:t xml:space="preserve"> </w:t>
      </w:r>
      <w:r>
        <w:t xml:space="preserve">it, and the data file's own header for a generated score.</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2026-08-06T18:18:59Z</dcterms:created>
  <dcterms:modified xsi:type="dcterms:W3CDTF">2026-08-06T18:18:59Z</dcterms:modified>
</cp:coreProperties>
</file>

<file path=docProps/custom.xml><?xml version="1.0" encoding="utf-8"?>
<Properties xmlns="http://schemas.openxmlformats.org/officeDocument/2006/custom-properties" xmlns:vt="http://schemas.openxmlformats.org/officeDocument/2006/docPropsVTypes"/>
</file>