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and the reasoning behind the cuts they are sorted on.</w:t>
      </w:r>
      <w:r>
        <w:t xml:space="preserve"> </w:t>
      </w:r>
      <w:r>
        <w:t xml:space="preserve">Consult this while</w:t>
      </w:r>
      <w:r>
        <w:t xml:space="preserve"> </w:t>
      </w:r>
      <w:r>
        <w:t xml:space="preserve">working, already knowing what you are looking for. If instead you are trying to work out which of</w:t>
      </w:r>
      <w:r>
        <w:t xml:space="preserve"> </w:t>
      </w:r>
      <w:r>
        <w:t xml:space="preserve">these is even worth your attention, start at</w:t>
      </w:r>
      <w:r>
        <w:t xml:space="preserve"> </w:t>
      </w:r>
      <w:hyperlink r:id="rId9">
        <w:r>
          <w:rPr>
            <w:rStyle w:val="Hyperlink"/>
          </w:rPr>
          <w:t xml:space="preserve">which standards apply to you</w:t>
        </w:r>
      </w:hyperlink>
      <w:r>
        <w:t xml:space="preserve"> </w:t>
      </w:r>
      <w:r>
        <w:t xml:space="preserve">-- the same coverage organized around your</w:t>
      </w:r>
      <w:r>
        <w:t xml:space="preserve"> </w:t>
      </w:r>
      <w:r>
        <w:t xml:space="preserve">situation rather than around the documents, and carrying an interactive selector on the served site.</w:t>
      </w:r>
      <w:r>
        <w:t xml:space="preserve"> </w:t>
      </w:r>
      <w:r>
        <w:t xml:space="preserve">That page routes and holds no rows; this one holds the rows and the argument.</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r>
        <w:pict>
          <v:rect style="width:0;height:1.5pt" o:hralign="center" o:hrstd="t" o:hr="t"/>
        </w:pict>
      </w:r>
    </w:p>
    <w:bookmarkStart w:id="14" w:name="tldrbluf"/>
    <w:p>
      <w:pPr>
        <w:pStyle w:val="Heading2"/>
      </w:pPr>
      <w:r>
        <w:t xml:space="preserve">TLDR/BLUF</w:t>
      </w:r>
    </w:p>
    <w:p>
      <w:pPr>
        <w:pStyle w:val="FirstParagraph"/>
      </w:pPr>
      <w:r>
        <w:rPr>
          <w:b/>
          <w:bCs/>
        </w:rPr>
        <w:t xml:space="preserve">This is a reference to consult, not a document to read through.</w:t>
      </w:r>
      <w:r>
        <w:t xml:space="preserve"> </w:t>
      </w:r>
      <w:r>
        <w:t xml:space="preserve">One row per document: what it</w:t>
      </w:r>
      <w:r>
        <w:t xml:space="preserve"> </w:t>
      </w:r>
      <w:r>
        <w:t xml:space="preserve">issues, what triggers it, its status with the date that was checked, and a check you can run</w:t>
      </w:r>
      <w:r>
        <w:t xml:space="preserve"> </w:t>
      </w:r>
      <w:r>
        <w:t xml:space="preserve">yourself. If you do not yet know which of these is worth your attention, you are on the wrong page</w:t>
      </w:r>
      <w:r>
        <w:t xml:space="preserve"> </w:t>
      </w:r>
      <w:r>
        <w:t xml:space="preserve">-- start at</w:t>
      </w:r>
      <w:r>
        <w:t xml:space="preserve"> </w:t>
      </w:r>
      <w:hyperlink r:id="rId9">
        <w:r>
          <w:rPr>
            <w:rStyle w:val="Hyperlink"/>
          </w:rPr>
          <w:t xml:space="preserve">which standards apply to you</w:t>
        </w:r>
      </w:hyperlink>
      <w:r>
        <w:t xml:space="preserve">.</w:t>
      </w:r>
    </w:p>
    <w:p>
      <w:pPr>
        <w:pStyle w:val="BodyText"/>
      </w:pPr>
      <w:r>
        <w:t xml:space="preserve">Three things to hold while reading any row:</w:t>
      </w:r>
    </w:p>
    <w:p>
      <w:pPr>
        <w:pStyle w:val="Compact"/>
        <w:numPr>
          <w:ilvl w:val="0"/>
          <w:numId w:val="1001"/>
        </w:numPr>
      </w:pPr>
      <w:r>
        <w:rPr>
          <w:b/>
          <w:bCs/>
        </w:rPr>
        <w:t xml:space="preserve">Every status was checked on 2026-08-06</w:t>
      </w:r>
      <w:r>
        <w:t xml:space="preserve">, stated once here rather than repeated in every cell.</w:t>
      </w:r>
      <w:r>
        <w:t xml:space="preserve"> </w:t>
      </w:r>
      <w:r>
        <w:t xml:space="preserve">Where a cell says "the check date", it means that one.</w:t>
      </w:r>
    </w:p>
    <w:p>
      <w:pPr>
        <w:pStyle w:val="Compact"/>
        <w:numPr>
          <w:ilvl w:val="0"/>
          <w:numId w:val="1001"/>
        </w:numPr>
      </w:pPr>
      <w:r>
        <w:rPr>
          <w:b/>
          <w:bCs/>
        </w:rPr>
        <w:t xml:space="preserve">This is a snapshot, not a maintained register.</w:t>
      </w:r>
      <w:r>
        <w:t xml:space="preserve"> </w:t>
      </w:r>
      <w:r>
        <w:t xml:space="preserve">Several of these facts changed within the</w:t>
      </w:r>
      <w:r>
        <w:t xml:space="preserve"> </w:t>
      </w:r>
      <w:r>
        <w:t xml:space="preserve">twelve months before that date, and some will have changed since. Re-check anything you intend</w:t>
      </w:r>
      <w:r>
        <w:t xml:space="preserve"> </w:t>
      </w:r>
      <w:r>
        <w:t xml:space="preserve">to rely on; each row says how.</w:t>
      </w:r>
    </w:p>
    <w:p>
      <w:pPr>
        <w:pStyle w:val="Compact"/>
        <w:numPr>
          <w:ilvl w:val="0"/>
          <w:numId w:val="1001"/>
        </w:numPr>
      </w:pPr>
      <w:r>
        <w:rPr>
          <w:b/>
          <w:bCs/>
        </w:rPr>
        <w:t xml:space="preserve">"At least these."</w:t>
      </w:r>
      <w:r>
        <w:t xml:space="preserve"> </w:t>
      </w:r>
      <w:r>
        <w:t xml:space="preserve">This is not a complete map of the landscape and does not claim to be.</w:t>
      </w:r>
      <w:r>
        <w:t xml:space="preserve"> </w:t>
      </w:r>
      <w:hyperlink r:id="rId13">
        <w:r>
          <w:rPr>
            <w:rStyle w:val="Hyperlink"/>
          </w:rPr>
          <w:t xml:space="preserve">What the routing page did not assess</w:t>
        </w:r>
      </w:hyperlink>
      <w:r>
        <w:t xml:space="preserve"> </w:t>
      </w:r>
      <w:r>
        <w:t xml:space="preserve">names what is missing on purpose -- do not read its silence as coverage. That link is written out</w:t>
      </w:r>
      <w:r>
        <w:t xml:space="preserve"> </w:t>
      </w:r>
      <w:r>
        <w:t xml:space="preserve">in full because a relative one is dead in a downloaded Word file.</w:t>
      </w:r>
    </w:p>
    <w:p>
      <w:pPr>
        <w:pStyle w:val="FirstParagraph"/>
      </w:pPr>
      <w:r>
        <w:rPr>
          <w:b/>
          <w:bCs/>
        </w:rPr>
        <w:t xml:space="preserve">Nothing here says any of it binds your organization.</w:t>
      </w:r>
      <w:r>
        <w:t xml:space="preserve"> </w:t>
      </w:r>
      <w:r>
        <w:t xml:space="preserve">A clause number decides that, applying to</w:t>
      </w:r>
      <w:r>
        <w:t xml:space="preserve"> </w:t>
      </w:r>
      <w:r>
        <w:t xml:space="preserve">your situation is not the same thing as binding you, and nothing here is legal advice.</w:t>
      </w:r>
    </w:p>
    <w:p>
      <w:pPr>
        <w:pStyle w:val="BodyText"/>
      </w:pPr>
      <w:r>
        <w:rPr>
          <w:b/>
          <w:bCs/>
        </w:rPr>
        <w:t xml:space="preserve">Sorted by who each document makes demands of</w:t>
      </w:r>
      <w:r>
        <w:t xml:space="preserve">, which is the most stable fact about it: status,</w:t>
      </w:r>
      <w:r>
        <w:t xml:space="preserve"> </w:t>
      </w:r>
      <w:r>
        <w:t xml:space="preserve">trigger and enforcement machinery change constantly, and the audience almost never does. The column</w:t>
      </w:r>
      <w:r>
        <w:t xml:space="preserve"> </w:t>
      </w:r>
      <w:r>
        <w:t xml:space="preserve">asks whose conduct a document's sentences purport to govern, not whether anything obliges you to</w:t>
      </w:r>
      <w:r>
        <w:t xml:space="preserve"> </w:t>
      </w:r>
      <w:r>
        <w:t xml:space="preserve">follow them -- that is the trigger column's question, and most of the documents here oblige nobody</w:t>
      </w:r>
      <w:r>
        <w:t xml:space="preserve"> </w:t>
      </w:r>
      <w:r>
        <w:t xml:space="preserve">on their own. The last section is the one whose documents govern no one's conduct at all: they</w:t>
      </w:r>
      <w:r>
        <w:t xml:space="preserve"> </w:t>
      </w:r>
      <w:r>
        <w:t xml:space="preserve">define the terms other documents are written in, so it is named for what they are used for instead.</w:t>
      </w:r>
      <w:r>
        <w:t xml:space="preserve"> </w:t>
      </w:r>
      <w:r>
        <w:t xml:space="preserve">Every item appears in exactly one table.</w:t>
      </w:r>
    </w:p>
    <w:p>
      <w:pPr>
        <w:pStyle w:val="BodyText"/>
      </w:pPr>
      <w:r>
        <w:rPr>
          <w:b/>
          <w:bCs/>
        </w:rPr>
        <w:t xml:space="preserve">The tables come first, and everything after them explains the cuts.</w:t>
      </w:r>
      <w:r>
        <w:t xml:space="preserve"> </w:t>
      </w:r>
      <w:hyperlink w:anchor="who-a-document-is-addressed-to">
        <w:r>
          <w:rPr>
            <w:rStyle w:val="Hyperlink"/>
          </w:rPr>
          <w:t xml:space="preserve">Who a document is addressed to</w:t>
        </w:r>
      </w:hyperlink>
      <w:r>
        <w:t xml:space="preserve">,</w:t>
      </w:r>
      <w:r>
        <w:t xml:space="preserve"> </w:t>
      </w:r>
      <w:hyperlink w:anchor="Xec54665e908c89ecc68195cf1b924f4fd00fad3">
        <w:r>
          <w:rPr>
            <w:rStyle w:val="Hyperlink"/>
          </w:rPr>
          <w:t xml:space="preserve">the organization layer is not the software layer</w:t>
        </w:r>
      </w:hyperlink>
      <w:r>
        <w:t xml:space="preserve">,</w:t>
      </w:r>
      <w:r>
        <w:t xml:space="preserve"> </w:t>
      </w:r>
      <w:hyperlink w:anchor="how-these-actually-arrive">
        <w:r>
          <w:rPr>
            <w:rStyle w:val="Hyperlink"/>
          </w:rPr>
          <w:t xml:space="preserve">how these actually arrive</w:t>
        </w:r>
      </w:hyperlink>
      <w:r>
        <w:t xml:space="preserve"> </w:t>
      </w:r>
      <w:r>
        <w:t xml:space="preserve">and</w:t>
      </w:r>
      <w:r>
        <w:t xml:space="preserve"> </w:t>
      </w:r>
      <w:hyperlink w:anchor="why-every-status-carries-a-date">
        <w:r>
          <w:rPr>
            <w:rStyle w:val="Hyperlink"/>
          </w:rPr>
          <w:t xml:space="preserve">why every status carries a date</w:t>
        </w:r>
      </w:hyperlink>
      <w:r>
        <w:t xml:space="preserve"> </w:t>
      </w:r>
      <w:r>
        <w:t xml:space="preserve">sit below the rows rather than</w:t>
      </w:r>
      <w:r>
        <w:t xml:space="preserve"> </w:t>
      </w:r>
      <w:r>
        <w:t xml:space="preserve">above them, so a reader who came here to look one thing up is not made to read an argument first.</w:t>
      </w:r>
      <w:r>
        <w:t xml:space="preserve"> </w:t>
      </w:r>
      <w:r>
        <w:t xml:space="preserve">They are the part worth reading once.</w:t>
      </w:r>
    </w:p>
    <w:p>
      <w:r>
        <w:pict>
          <v:rect style="width:0;height:1.5pt" o:hralign="center" o:hrstd="t" o:hr="t"/>
        </w:pict>
      </w:r>
    </w:p>
    <w:bookmarkEnd w:id="14"/>
    <w:bookmarkStart w:id="15"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5"/>
    <w:bookmarkStart w:id="19" w:name="makes-demands-of-a-software-producer"/>
    <w:p>
      <w:pPr>
        <w:pStyle w:val="Heading2"/>
      </w:pPr>
      <w:r>
        <w:t xml:space="preserve">Makes demands of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7"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 And a signed self-attestation</w:t>
      </w:r>
      <w:r>
        <w:t xml:space="preserve"> </w:t>
      </w:r>
      <w:r>
        <w:t xml:space="preserve">is a different instrument from a certificate -- rescinding the instruction that prompted a signature</w:t>
      </w:r>
      <w:r>
        <w:t xml:space="preserve"> </w:t>
      </w:r>
      <w:r>
        <w:t xml:space="preserve">is prospective, and unsigns nothing. This is the worked example for the first shape of staleness in</w:t>
      </w:r>
      <w:r>
        <w:t xml:space="preserve"> </w:t>
      </w:r>
      <w:hyperlink w:anchor="why-every-status-carries-a-date">
        <w:r>
          <w:rPr>
            <w:rStyle w:val="Hyperlink"/>
          </w:rPr>
          <w:t xml:space="preserve">why every status carries a date</w:t>
        </w:r>
      </w:hyperlink>
      <w:r>
        <w:t xml:space="preserve">.</w:t>
      </w:r>
    </w:p>
    <w:p>
      <w:pPr>
        <w:pStyle w:val="BodyText"/>
      </w:pPr>
      <w:r>
        <w:t xml:space="preserve">Component inventory and build provenance as controls -- rather than as any named framework -- are</w:t>
      </w:r>
      <w:r>
        <w:t xml:space="preserve"> </w:t>
      </w:r>
      <w:r>
        <w:t xml:space="preserve">covered in</w:t>
      </w:r>
      <w:r>
        <w:t xml:space="preserve"> </w:t>
      </w:r>
      <w:hyperlink r:id="rId16">
        <w:r>
          <w:rPr>
            <w:rStyle w:val="Hyperlink"/>
          </w:rPr>
          <w:t xml:space="preserve">Dependency integrity</w:t>
        </w:r>
      </w:hyperlink>
      <w:r>
        <w:t xml:space="preserve">, which names no baseline and claims</w:t>
      </w:r>
      <w:r>
        <w:t xml:space="preserve"> </w:t>
      </w:r>
      <w:r>
        <w:t xml:space="preserve">correspondence with none.</w:t>
      </w:r>
    </w:p>
    <w:bookmarkEnd w:id="17"/>
    <w:bookmarkStart w:id="18"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8"/>
    <w:bookmarkEnd w:id="19"/>
    <w:bookmarkStart w:id="24" w:name="Xf732b44ccd9dcaa3ad13ccfbaa99f570ae9e67a"/>
    <w:p>
      <w:pPr>
        <w:pStyle w:val="Heading2"/>
      </w:pPr>
      <w:r>
        <w:t xml:space="preserve">Makes demands of an organization, not a product</w:t>
      </w:r>
    </w:p>
    <w:p>
      <w:pPr>
        <w:pStyle w:val="FirstParagraph"/>
      </w:pPr>
      <w:r>
        <w:t xml:space="preserve">None of these certifies a product, and all of them are routinely offered as product evidence. Where</w:t>
      </w:r>
      <w:r>
        <w:t xml:space="preserve"> </w:t>
      </w:r>
      <w:r>
        <w:t xml:space="preserve">one applies to a software producer, it arrives through a contract rather than through the regime.</w:t>
      </w:r>
      <w:r>
        <w:t xml:space="preserve"> </w:t>
      </w:r>
      <w:r>
        <w:t xml:space="preserve">Why that distinction is the most useful sentence on the whole subject is under</w:t>
      </w:r>
      <w:r>
        <w:t xml:space="preserve"> </w:t>
      </w:r>
      <w:hyperlink w:anchor="Xec54665e908c89ecc68195cf1b924f4fd00fad3">
        <w:r>
          <w:rPr>
            <w:rStyle w:val="Hyperlink"/>
          </w:rPr>
          <w:t xml:space="preserve">the organization layer is not the software layer</w:t>
        </w:r>
      </w:hyperlink>
      <w:r>
        <w:t xml:space="preserve">,</w:t>
      </w:r>
      <w:r>
        <w:t xml:space="preserve"> </w:t>
      </w:r>
      <w:r>
        <w:t xml:space="preserve">below.</w:t>
      </w:r>
    </w:p>
    <w:bookmarkStart w:id="20"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using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0"/>
    <w:bookmarkStart w:id="21"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1"/>
    <w:bookmarkStart w:id="23"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personally identifiable information (PII). Most questions arrive attached to the</w:t>
      </w:r>
      <w:r>
        <w:t xml:space="preserve"> </w:t>
      </w:r>
      <w:r>
        <w:t xml:space="preserve">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 the clause text alone can name the wrong revision. The route it arrives by, and who</w:t>
      </w:r>
      <w:r>
        <w:t xml:space="preserve"> </w:t>
      </w:r>
      <w:r>
        <w:t xml:space="preserve">therefore owns the response, is in</w:t>
      </w:r>
      <w:r>
        <w:t xml:space="preserve"> </w:t>
      </w:r>
      <w:hyperlink w:anchor="how-these-actually-arrive">
        <w:r>
          <w:rPr>
            <w:rStyle w:val="Hyperlink"/>
          </w:rPr>
          <w:t xml:space="preserve">how these actually arrive</w:t>
        </w:r>
      </w:hyperlink>
      <w:r>
        <w:t xml:space="preserve"> </w:t>
      </w:r>
      <w:r>
        <w:t xml:space="preserve">below.</w:t>
      </w:r>
      <w:r>
        <w:t xml:space="preserve"> </w:t>
      </w:r>
      <w:r>
        <w:t xml:space="preserve">The release-versus-revision trap in the control catalog, with the producer-versus-operator</w:t>
      </w:r>
      <w:r>
        <w:t xml:space="preserve"> </w:t>
      </w:r>
      <w:r>
        <w:t xml:space="preserve">split that decides who owns a control at all, sits in</w:t>
      </w:r>
      <w:r>
        <w:t xml:space="preserve"> </w:t>
      </w:r>
      <w:hyperlink r:id="rId22">
        <w:r>
          <w:rPr>
            <w:rStyle w:val="Hyperlink"/>
          </w:rPr>
          <w:t xml:space="preserve">Secure development</w:t>
        </w:r>
      </w:hyperlink>
      <w:r>
        <w:t xml:space="preserve"> </w:t>
      </w:r>
      <w:r>
        <w:t xml:space="preserve">rather than here.</w:t>
      </w:r>
    </w:p>
    <w:p>
      <w:r>
        <w:pict>
          <v:rect style="width:0;height:1.5pt" o:hralign="center" o:hrstd="t" o:hr="t"/>
        </w:pict>
      </w:r>
    </w:p>
    <w:bookmarkEnd w:id="23"/>
    <w:bookmarkEnd w:id="24"/>
    <w:bookmarkStart w:id="25" w:name="makes-demands-of-an-assessor"/>
    <w:p>
      <w:pPr>
        <w:pStyle w:val="Heading2"/>
      </w:pPr>
      <w:r>
        <w:t xml:space="preserve">Makes demands of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"Makes demands of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5"/>
    <w:bookmarkStart w:id="27" w:name="input-you-use-not-a-rule-you-meet"/>
    <w:p>
      <w:pPr>
        <w:pStyle w:val="Heading2"/>
      </w:pPr>
      <w:r>
        <w:t xml:space="preserve">Input you use, not a rule you meet</w:t>
      </w:r>
    </w:p>
    <w:p>
      <w:pPr>
        <w:pStyle w:val="FirstParagraph"/>
      </w:pPr>
      <w:r>
        <w:t xml:space="preserve">You cannot conform to any of these, and knowing that ends several arguments. It does not mean skip</w:t>
      </w:r>
      <w:r>
        <w:t xml:space="preserve"> </w:t>
      </w:r>
      <w:r>
        <w:t xml:space="preserve">them: a software producer uses every one. A dependency policy is written in vulnerability</w:t>
      </w:r>
      <w:r>
        <w:t xml:space="preserve"> </w:t>
      </w:r>
      <w:r>
        <w:t xml:space="preserve">identifiers, a scanner reports in weakness identifiers, an SBOM is emitted in one of two formats,</w:t>
      </w:r>
      <w:r>
        <w:t xml:space="preserve"> </w:t>
      </w:r>
      <w:r>
        <w:t xml:space="preserve">and a requirements document borrows the quality vocabulary. What can put you under an obligation is</w:t>
      </w:r>
      <w:r>
        <w:t xml:space="preserve"> </w:t>
      </w:r>
      <w:r>
        <w:t xml:space="preserve">the policy, the contract or the vulnerability management program that quotes one of these, never the</w:t>
      </w:r>
      <w:r>
        <w:t xml:space="preserve"> </w:t>
      </w:r>
      <w:r>
        <w:t xml:space="preserve">document itself -- so use them, and look elsewhere for the demand.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6">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7"/>
    <w:bookmarkStart w:id="28" w:name="who-a-document-is-addressed-to"/>
    <w:p>
      <w:pPr>
        <w:pStyle w:val="Heading2"/>
      </w:pPr>
      <w:r>
        <w:t xml:space="preserve">Who a document is addressed to</w:t>
      </w:r>
    </w:p>
    <w:p>
      <w:pPr>
        <w:pStyle w:val="FirstParagraph"/>
      </w:pPr>
      <w:r>
        <w:rPr>
          <w:b/>
          <w:bCs/>
        </w:rPr>
        <w:t xml:space="preserve">The rows are above. This section and the three after it are the argument, and skipping them costs</w:t>
      </w:r>
      <w:r>
        <w:rPr>
          <w:b/>
          <w:bCs/>
        </w:rPr>
        <w:t xml:space="preserve"> </w:t>
      </w:r>
      <w:r>
        <w:rPr>
          <w:b/>
          <w:bCs/>
        </w:rPr>
        <w:t xml:space="preserve">you nothing above.</w:t>
      </w:r>
      <w:r>
        <w:t xml:space="preserve"> </w:t>
      </w:r>
      <w:r>
        <w:t xml:space="preserve">They cover the cut the tables sort on, the layer distinction that decides what</w:t>
      </w:r>
      <w:r>
        <w:t xml:space="preserve"> </w:t>
      </w:r>
      <w:r>
        <w:t xml:space="preserve">an instrument is evidence of, the routes by which any of this arrives, and why a status without a</w:t>
      </w:r>
      <w:r>
        <w:t xml:space="preserve"> </w:t>
      </w:r>
      <w:r>
        <w:t xml:space="preserve">date is worthless. If you came here to look one thing up, you are done.</w:t>
      </w:r>
    </w:p>
    <w:p>
      <w:pPr>
        <w:pStyle w:val="BodyText"/>
      </w:pPr>
      <w:r>
        <w:t xml:space="preserve">The addressee is the most stable fact about a document. Status, trigger and enforcement machinery</w:t>
      </w:r>
      <w:r>
        <w:t xml:space="preserve"> </w:t>
      </w:r>
      <w:r>
        <w:t xml:space="preserve">change constantly; the audience almost never does. That is why this page sorts on it, and why the</w:t>
      </w:r>
      <w:r>
        <w:t xml:space="preserve"> </w:t>
      </w:r>
      <w:r>
        <w:t xml:space="preserve">question is asked before any of the others. The test it runs is whose conduct a document's sentences</w:t>
      </w:r>
      <w:r>
        <w:t xml:space="preserve"> </w:t>
      </w:r>
      <w:r>
        <w:t xml:space="preserve">purport to govern -- not whether the document succeeds in obliging anyone on its own, which most of</w:t>
      </w:r>
      <w:r>
        <w:t xml:space="preserve"> </w:t>
      </w:r>
      <w:r>
        <w:t xml:space="preserve">them do not. What obliges you is the clause, the policy or the regime that quotes the document, and</w:t>
      </w:r>
      <w:r>
        <w:t xml:space="preserve"> </w:t>
      </w:r>
      <w:r>
        <w:t xml:space="preserve">that is the trigger column's question rather than this one.</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"Makes demands of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on the</w:t>
      </w:r>
      <w:r>
        <w:t xml:space="preserve"> </w:t>
      </w:r>
      <w:r>
        <w:t xml:space="preserve">routing page puts every such item in its own block, under that label, for exactly this reason.</w:t>
      </w:r>
    </w:p>
    <w:p>
      <w:pPr>
        <w:pStyle w:val="BodyText"/>
      </w:pPr>
      <w:r>
        <w:rPr>
          <w:b/>
          <w:bCs/>
        </w:rPr>
        <w:t xml:space="preserve">The fourth label names a use rather than an audience, and that is deliberate.</w:t>
      </w:r>
      <w:r>
        <w:t xml:space="preserve"> </w:t>
      </w:r>
      <w:r>
        <w:t xml:space="preserve">Nothing in that</w:t>
      </w:r>
      <w:r>
        <w:t xml:space="preserve"> </w:t>
      </w:r>
      <w:r>
        <w:t xml:space="preserve">group is written at anybody: its documents define the terms other documents' sentences are written</w:t>
      </w:r>
      <w:r>
        <w:t xml:space="preserve"> </w:t>
      </w:r>
      <w:r>
        <w:t xml:space="preserve">in, rather than governing anyone's conduct. That is what separates it from the other three, and it</w:t>
      </w:r>
      <w:r>
        <w:t xml:space="preserve"> </w:t>
      </w:r>
      <w:r>
        <w:t xml:space="preserve">is a fact about normative status rather than about importance -- a producer uses every item in the</w:t>
      </w:r>
      <w:r>
        <w:t xml:space="preserve"> </w:t>
      </w:r>
      <w:r>
        <w:t xml:space="preserve">group. A dependency policy is written in vulnerability identifiers, a scanner reports in weakness</w:t>
      </w:r>
      <w:r>
        <w:t xml:space="preserve"> </w:t>
      </w:r>
      <w:r>
        <w:t xml:space="preserve">identifiers, an SBOM is emitted in one of two formats, and a requirements document borrows the</w:t>
      </w:r>
      <w:r>
        <w:t xml:space="preserve"> </w:t>
      </w:r>
      <w:r>
        <w:t xml:space="preserve">quality vocabulary. Labeling the group by the absence invites a reader to skip it, which is the</w:t>
      </w:r>
      <w:r>
        <w:t xml:space="preserve"> </w:t>
      </w:r>
      <w:r>
        <w:t xml:space="preserve">wrong move for material their own policies are written in. Where a demand does exist it comes from</w:t>
      </w:r>
      <w:r>
        <w:t xml:space="preserve"> </w:t>
      </w:r>
      <w:r>
        <w:t xml:space="preserve">the policy, the contract or the vulnerability management program that quotes the document, never</w:t>
      </w:r>
      <w:r>
        <w:t xml:space="preserve"> </w:t>
      </w:r>
      <w:r>
        <w:t xml:space="preserve">from the document, so each row's trigger cell names that source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Makes demands of</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Input you use, not a rule you meet</w:t>
            </w:r>
          </w:p>
        </w:tc>
        <w:tc>
          <w:tcPr/>
          <w:p>
            <w:pPr>
              <w:pStyle w:val="Compact"/>
            </w:pPr>
            <w:r>
              <w:t xml:space="preserve">Identifier spaces, formats and vocabularies that policies, scanners and contracts are written in. A producer uses all of them and conforms to none of them</w:t>
            </w:r>
          </w:p>
        </w:tc>
        <w:tc>
          <w:tcPr/>
          <w:p>
            <w:pPr>
              <w:pStyle w:val="Compact"/>
            </w:pPr>
            <w:r>
              <w:t xml:space="preserve">Read as "skip this". Also 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above. An item addressing two audiences is</w:t>
      </w:r>
      <w:r>
        <w:t xml:space="preserve"> </w:t>
      </w:r>
      <w:r>
        <w:t xml:space="preserve">placed where the cost of acting lands.</w:t>
      </w:r>
    </w:p>
    <w:p>
      <w:r>
        <w:pict>
          <v:rect style="width:0;height:1.5pt" o:hralign="center" o:hrstd="t" o:hr="t"/>
        </w:pict>
      </w:r>
    </w:p>
    <w:bookmarkEnd w:id="28"/>
    <w:bookmarkStart w:id="29" w:name="Xec54665e908c89ecc68195cf1b924f4fd00fad3"/>
    <w:p>
      <w:pPr>
        <w:pStyle w:val="Heading2"/>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under</w:t>
      </w:r>
      <w:r>
        <w:t xml:space="preserve"> </w:t>
      </w:r>
      <w:hyperlink w:anchor="certification-and-program-regimes">
        <w:r>
          <w:rPr>
            <w:rStyle w:val="Hyperlink"/>
          </w:rPr>
          <w:t xml:space="preserve">certification and program regimes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p>
      <w:r>
        <w:pict>
          <v:rect style="width:0;height:1.5pt" o:hralign="center" o:hrstd="t" o:hr="t"/>
        </w:pict>
      </w:r>
    </w:p>
    <w:bookmarkEnd w:id="29"/>
    <w:bookmarkStart w:id="30" w:name="how-these-actually-arrive"/>
    <w:p>
      <w:pPr>
        <w:pStyle w:val="Heading2"/>
      </w:pPr>
      <w:r>
        <w:t xml:space="preserve">How these actually arrive</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on this page takes the first route.</w:t>
      </w:r>
      <w:r>
        <w:t xml:space="preserve"> </w:t>
      </w:r>
      <w:r>
        <w:t xml:space="preserve">The market-access regulation binds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 -- a contracting officer inserted a clause, a prime flowed one down, a customer sent a</w:t>
      </w:r>
      <w:r>
        <w:t xml:space="preserve"> </w:t>
      </w:r>
      <w:r>
        <w:t xml:space="preserve">questionnaire, an acquirer set a validation requirement, or you adopted it yourself. 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r>
        <w:pict>
          <v:rect style="width:0;height:1.5pt" o:hralign="center" o:hrstd="t" o:hr="t"/>
        </w:pict>
      </w:r>
    </w:p>
    <w:bookmarkEnd w:id="30"/>
    <w:bookmarkStart w:id="32" w:name="why-every-status-carries-a-date"/>
    <w:p>
      <w:pPr>
        <w:pStyle w:val="Heading2"/>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2"/>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 The worked example is</w:t>
      </w:r>
      <w:r>
        <w:t xml:space="preserve"> </w:t>
      </w:r>
      <w:hyperlink w:anchor="requirement-shaped-items">
        <w:r>
          <w:rPr>
            <w:rStyle w:val="Hyperlink"/>
          </w:rPr>
          <w:t xml:space="preserve">the federal attestation chain</w:t>
        </w:r>
      </w:hyperlink>
      <w:r>
        <w:t xml:space="preserve"> </w:t>
      </w:r>
      <w:r>
        <w:t xml:space="preserve">above: told as one January 2026 event</w:t>
      </w:r>
      <w:r>
        <w:t xml:space="preserve"> </w:t>
      </w:r>
      <w:r>
        <w:t xml:space="preserve">when it was two, seven months apart, which loses the fact that the verification model was already</w:t>
      </w:r>
      <w:r>
        <w:t xml:space="preserve"> </w:t>
      </w:r>
      <w:r>
        <w:t xml:space="preserve">gone in mid-2025.</w:t>
      </w:r>
    </w:p>
    <w:p>
      <w:pPr>
        <w:pStyle w:val="Compact"/>
        <w:numPr>
          <w:ilvl w:val="0"/>
          <w:numId w:val="1002"/>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2"/>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2"/>
        </w:numPr>
      </w:pPr>
      <w:r>
        <w:rPr>
          <w:b/>
          <w:bCs/>
        </w:rPr>
        <w:t xml:space="preserve">A rename.</w:t>
      </w:r>
      <w:r>
        <w:t xml:space="preserve"> </w:t>
      </w:r>
      <w:r>
        <w:t xml:space="preserve">Search stops working, and both names are often legitimately live at once.</w:t>
      </w:r>
    </w:p>
    <w:p>
      <w:pPr>
        <w:pStyle w:val="Compact"/>
        <w:numPr>
          <w:ilvl w:val="0"/>
          <w:numId w:val="1002"/>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31">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32"/>
    <w:bookmarkStart w:id="33"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each also marked in</w:t>
      </w:r>
      <w:r>
        <w:t xml:space="preserve"> </w:t>
      </w:r>
      <w:r>
        <w:t xml:space="preserve">its own cell: the suspension of the defense program phases beyond the first; the standing of the class</w:t>
      </w:r>
      <w:r>
        <w:t xml:space="preserve"> </w:t>
      </w:r>
      <w:r>
        <w:t xml:space="preserve">deviation that pins the safeguarding clause to an earlier revision; the audit baseline for the</w:t>
      </w:r>
      <w:r>
        <w:t xml:space="preserve"> </w:t>
      </w:r>
      <w:r>
        <w:t xml:space="preserve">law-enforcement-data policy; the certificate transition end date for the 2013 management-system</w:t>
      </w:r>
      <w:r>
        <w:t xml:space="preserve"> </w:t>
      </w:r>
      <w:r>
        <w:t xml:space="preserve">edition; the projected date for the pending sector-rule overhaul; the finalization date of the current</w:t>
      </w:r>
      <w:r>
        <w:t xml:space="preserve"> </w:t>
      </w:r>
      <w:r>
        <w:t xml:space="preserve">web application ranking; the tier detail for the validated-assessment program; and the model version</w:t>
      </w:r>
      <w:r>
        <w:t xml:space="preserve"> </w:t>
      </w:r>
      <w:r>
        <w:t xml:space="preserve">behind the published exploit-probability scores.</w:t>
      </w:r>
    </w:p>
    <w:p>
      <w:pPr>
        <w:pStyle w:val="BodyText"/>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33"/>
    <w:bookmarkStart w:id="42"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3"/>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34">
        <w:r>
          <w:rPr>
            <w:rStyle w:val="Hyperlink"/>
          </w:rPr>
          <w:t xml:space="preserve">CSRC publication records</w:t>
        </w:r>
      </w:hyperlink>
      <w:r>
        <w:t xml:space="preserve">; for the EU items, the</w:t>
      </w:r>
      <w:r>
        <w:t xml:space="preserve"> </w:t>
      </w:r>
      <w:hyperlink r:id="rId35">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36">
        <w:r>
          <w:rPr>
            <w:rStyle w:val="Hyperlink"/>
          </w:rPr>
          <w:t xml:space="preserve">Federal Register</w:t>
        </w:r>
      </w:hyperlink>
      <w:r>
        <w:t xml:space="preserve">.</w:t>
      </w:r>
    </w:p>
    <w:p>
      <w:pPr>
        <w:pStyle w:val="Compact"/>
        <w:numPr>
          <w:ilvl w:val="0"/>
          <w:numId w:val="1003"/>
        </w:numPr>
      </w:pPr>
      <w:r>
        <w:rPr>
          <w:b/>
          <w:bCs/>
        </w:rPr>
        <w:t xml:space="preserve">The program's own definitions page</w:t>
      </w:r>
      <w:r>
        <w:t xml:space="preserve">, for anything whose vocabulary has moved. The</w:t>
      </w:r>
      <w:r>
        <w:t xml:space="preserve"> </w:t>
      </w:r>
      <w:hyperlink r:id="rId37">
        <w:r>
          <w:rPr>
            <w:rStyle w:val="Hyperlink"/>
          </w:rPr>
          <w:t xml:space="preserve">cloud program's definitions</w:t>
        </w:r>
      </w:hyperlink>
      <w:r>
        <w:t xml:space="preserve"> </w:t>
      </w:r>
      <w:r>
        <w:t xml:space="preserve">is the live example.</w:t>
      </w:r>
    </w:p>
    <w:p>
      <w:pPr>
        <w:pStyle w:val="Compact"/>
        <w:numPr>
          <w:ilvl w:val="0"/>
          <w:numId w:val="1003"/>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3"/>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8">
        <w:r>
          <w:rPr>
            <w:rStyle w:val="Hyperlink"/>
          </w:rPr>
          <w:t xml:space="preserve">January 2026 memorandum that rescinded the federal attestation mandate</w:t>
        </w:r>
      </w:hyperlink>
      <w:r>
        <w:t xml:space="preserve">,</w:t>
      </w:r>
      <w:r>
        <w:t xml:space="preserve"> </w:t>
      </w:r>
      <w:r>
        <w:t xml:space="preserve">the</w:t>
      </w:r>
      <w:r>
        <w:t xml:space="preserve"> </w:t>
      </w:r>
      <w:hyperlink r:id="rId39">
        <w:r>
          <w:rPr>
            <w:rStyle w:val="Hyperlink"/>
          </w:rPr>
          <w:t xml:space="preserve">2026 SBOM minimum elements</w:t>
        </w:r>
      </w:hyperlink>
      <w:r>
        <w:t xml:space="preserve">,</w:t>
      </w:r>
      <w:r>
        <w:t xml:space="preserve"> </w:t>
      </w:r>
      <w:r>
        <w:t xml:space="preserve">the</w:t>
      </w:r>
      <w:r>
        <w:t xml:space="preserve"> </w:t>
      </w:r>
      <w:hyperlink r:id="rId40">
        <w:r>
          <w:rPr>
            <w:rStyle w:val="Hyperlink"/>
          </w:rPr>
          <w:t xml:space="preserve">SSDF publication listing</w:t>
        </w:r>
      </w:hyperlink>
      <w:r>
        <w:t xml:space="preserve">, and the</w:t>
      </w:r>
      <w:r>
        <w:t xml:space="preserve"> </w:t>
      </w:r>
      <w:hyperlink r:id="rId41">
        <w:r>
          <w:rPr>
            <w:rStyle w:val="Hyperlink"/>
          </w:rPr>
          <w:t xml:space="preserve">build and source track specifications</w:t>
        </w:r>
      </w:hyperlink>
      <w:r>
        <w:t xml:space="preserve">.</w:t>
      </w:r>
    </w:p>
    <w:p>
      <w:r>
        <w:pict>
          <v:rect style="width:0;height:1.5pt" o:hralign="center" o:hrstd="t" o:hr="t"/>
        </w:pict>
      </w:r>
    </w:p>
    <w:bookmarkEnd w:id="42"/>
    <w:bookmarkStart w:id="47"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Which of these is even worth your attention, routed by situation</w:t>
            </w:r>
          </w:p>
        </w:tc>
        <w:tc>
          <w:tcPr/>
          <w:p>
            <w:pPr>
              <w:pStyle w:val="Compact"/>
            </w:pPr>
            <w:hyperlink r:id="rId9">
              <w:r>
                <w:rPr>
                  <w:rStyle w:val="Hyperlink"/>
                </w:rPr>
                <w:t xml:space="preserve">Which standards apply to you</w:t>
              </w:r>
            </w:hyperlink>
          </w:p>
        </w:tc>
      </w:tr>
      <w:tr>
        <w:tc>
          <w:tcPr/>
          <w:p>
            <w:pPr>
              <w:pStyle w:val="Compact"/>
            </w:pPr>
            <w:r>
              <w:t xml:space="preserve">What to require of a vendor you are evaluating, and what each answer proves</w:t>
            </w:r>
          </w:p>
        </w:tc>
        <w:tc>
          <w:tcPr/>
          <w:p>
            <w:pPr>
              <w:pStyle w:val="Compact"/>
            </w:pPr>
            <w:hyperlink r:id="rId43">
              <w:r>
                <w:rPr>
                  <w:rStyle w:val="Hyperlink"/>
                </w:rPr>
                <w:t xml:space="preserve">What to ask a software vendor for</w:t>
              </w:r>
            </w:hyperlink>
          </w:p>
        </w:tc>
      </w:tr>
      <w:tr>
        <w:tc>
          <w:tcPr/>
          <w:p>
            <w:pPr>
              <w:pStyle w:val="Compact"/>
            </w:pPr>
            <w:r>
              <w:t xml:space="preserve">Whether your teams already do this</w:t>
            </w:r>
          </w:p>
        </w:tc>
        <w:tc>
          <w:tcPr/>
          <w:p>
            <w:pPr>
              <w:pStyle w:val="Compact"/>
            </w:pPr>
            <w:hyperlink r:id="rId44">
              <w:r>
                <w:rPr>
                  <w:rStyle w:val="Hyperlink"/>
                </w:rPr>
                <w:t xml:space="preserve">The CISO summary</w:t>
              </w:r>
            </w:hyperlink>
          </w:p>
        </w:tc>
      </w:tr>
      <w:tr>
        <w:tc>
          <w:tcPr/>
          <w:p>
            <w:pPr>
              <w:pStyle w:val="Compact"/>
            </w:pPr>
            <w:r>
              <w:t xml:space="preserve">The control set for AI-assisted work</w:t>
            </w:r>
          </w:p>
        </w:tc>
        <w:tc>
          <w:tcPr/>
          <w:p>
            <w:pPr>
              <w:pStyle w:val="Compact"/>
            </w:pPr>
            <w:hyperlink r:id="rId45">
              <w:r>
                <w:rPr>
                  <w:rStyle w:val="Hyperlink"/>
                </w:rPr>
                <w:t xml:space="preserve">AI-assisted development</w:t>
              </w:r>
            </w:hyperlink>
          </w:p>
        </w:tc>
      </w:tr>
      <w:tr>
        <w:tc>
          <w:tcPr/>
          <w:p>
            <w:pPr>
              <w:pStyle w:val="Compact"/>
            </w:pPr>
            <w:r>
              <w:t xml:space="preserve">The process a build must satisfy, and who owns which control</w:t>
            </w:r>
          </w:p>
        </w:tc>
        <w:tc>
          <w:tcPr/>
          <w:p>
            <w:pPr>
              <w:pStyle w:val="Compact"/>
            </w:pPr>
            <w:hyperlink r:id="rId22">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16">
              <w:r>
                <w:rPr>
                  <w:rStyle w:val="Hyperlink"/>
                </w:rPr>
                <w:t xml:space="preserve">Dependency integrity</w:t>
              </w:r>
            </w:hyperlink>
          </w:p>
        </w:tc>
      </w:tr>
      <w:tr>
        <w:tc>
          <w:tcPr/>
          <w:p>
            <w:pPr>
              <w:pStyle w:val="Compact"/>
            </w:pPr>
            <w:r>
              <w:t xml:space="preserve">Running an assessment against a standard with several hundred requirements</w:t>
            </w:r>
          </w:p>
        </w:tc>
        <w:tc>
          <w:tcPr/>
          <w:p>
            <w:pPr>
              <w:pStyle w:val="Compact"/>
            </w:pPr>
            <w:hyperlink r:id="rId31">
              <w:r>
                <w:rPr>
                  <w:rStyle w:val="Hyperlink"/>
                </w:rPr>
                <w:t xml:space="preserve">Use OWASP ASVS 5.0</w:t>
              </w:r>
            </w:hyperlink>
          </w:p>
        </w:tc>
      </w:tr>
      <w:tr>
        <w:tc>
          <w:tcPr/>
          <w:p>
            <w:pPr>
              <w:pStyle w:val="Compact"/>
            </w:pPr>
            <w:r>
              <w:t xml:space="preserve">All of it, and how to adopt</w:t>
            </w:r>
          </w:p>
        </w:tc>
        <w:tc>
          <w:tcPr/>
          <w:p>
            <w:pPr>
              <w:pStyle w:val="Compact"/>
            </w:pPr>
            <w:hyperlink r:id="rId46">
              <w:r>
                <w:rPr>
                  <w:rStyle w:val="Hyperlink"/>
                </w:rPr>
                <w:t xml:space="preserve">Overview</w:t>
              </w:r>
            </w:hyperlink>
          </w:p>
        </w:tc>
      </w:tr>
    </w:tbl>
    <w:p>
      <w:r>
        <w:pict>
          <v:rect style="width:0;height:1.5pt" o:hralign="center" o:hrstd="t" o:hr="t"/>
        </w:pict>
      </w:r>
    </w:p>
    <w:p>
      <w:pPr>
        <w:pStyle w:val="FirstParagraph"/>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ASVS-ASSESSMENT.md" TargetMode="External" /><Relationship Type="http://schemas.openxmlformats.org/officeDocument/2006/relationships/hyperlink" Id="rId45" Target="AI-ASSISTED-DEVELOPMENT.md" TargetMode="External" /><Relationship Type="http://schemas.openxmlformats.org/officeDocument/2006/relationships/hyperlink" Id="rId44" Target="CISO-SUMMARY.md" TargetMode="External" /><Relationship Type="http://schemas.openxmlformats.org/officeDocument/2006/relationships/hyperlink" Id="rId26" Target="CODE-QUALITY.md" TargetMode="External" /><Relationship Type="http://schemas.openxmlformats.org/officeDocument/2006/relationships/hyperlink" Id="rId16" Target="DEPENDENCY-INTEGRITY.md" TargetMode="External" /><Relationship Type="http://schemas.openxmlformats.org/officeDocument/2006/relationships/hyperlink" Id="rId43" Target="DILIGENCE-PACKET.md" TargetMode="External" /><Relationship Type="http://schemas.openxmlformats.org/officeDocument/2006/relationships/hyperlink" Id="rId46" Target="OVERVIEW.md" TargetMode="External" /><Relationship Type="http://schemas.openxmlformats.org/officeDocument/2006/relationships/hyperlink" Id="rId12" Target="OVERVIEW.md#the-files" TargetMode="External" /><Relationship Type="http://schemas.openxmlformats.org/officeDocument/2006/relationships/hyperlink" Id="rId22" Target="SECURE-DEVELOPMENT.md" TargetMode="External" /><Relationship Type="http://schemas.openxmlformats.org/officeDocument/2006/relationships/hyperlink" Id="rId9" Target="WHICH-STANDARDS-APPLY.md" TargetMode="External" /><Relationship Type="http://schemas.openxmlformats.org/officeDocument/2006/relationships/hyperlink" Id="rId40" Target="https://csrc.nist.gov/Projects/ssdf/publications" TargetMode="External" /><Relationship Type="http://schemas.openxmlformats.org/officeDocument/2006/relationships/hyperlink" Id="rId34" Target="https://csrc.nist.gov/publications" TargetMode="External" /><Relationship Type="http://schemas.openxmlformats.org/officeDocument/2006/relationships/hyperlink" Id="rId35" Target="https://digital-strategy.ec.europa.eu/en/policies/cyber-resilience-act"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 Type="http://schemas.openxmlformats.org/officeDocument/2006/relationships/hyperlink" Id="rId41" Target="https://slsa.dev/spec/v1.2/build-requirements" TargetMode="External" /><Relationship Type="http://schemas.openxmlformats.org/officeDocument/2006/relationships/hyperlink" Id="rId13" Target="https://wshallwshall.github.io/claude-multisession/standards/WHICH-STANDARDS-APPLY.html#what-this-page-did-not-assess" TargetMode="External" /><Relationship Type="http://schemas.openxmlformats.org/officeDocument/2006/relationships/hyperlink" Id="rId39" Target="https://www.cisa.gov/resources-tools/resources/2026-minimum-elements-software-bill-materials-sbom" TargetMode="External" /><Relationship Type="http://schemas.openxmlformats.org/officeDocument/2006/relationships/hyperlink" Id="rId36" Target="https://www.federalregister.gov/" TargetMode="External" /><Relationship Type="http://schemas.openxmlformats.org/officeDocument/2006/relationships/hyperlink" Id="rId37" Target="https://www.fedramp.gov/2026/definitions/" TargetMode="External" /><Relationship Type="http://schemas.openxmlformats.org/officeDocument/2006/relationships/hyperlink" Id="rId38"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31" Target="../ASVS-ASSESSMENT.md" TargetMode="External" /><Relationship Type="http://schemas.openxmlformats.org/officeDocument/2006/relationships/hyperlink" Id="rId45" Target="AI-ASSISTED-DEVELOPMENT.md" TargetMode="External" /><Relationship Type="http://schemas.openxmlformats.org/officeDocument/2006/relationships/hyperlink" Id="rId44" Target="CISO-SUMMARY.md" TargetMode="External" /><Relationship Type="http://schemas.openxmlformats.org/officeDocument/2006/relationships/hyperlink" Id="rId26" Target="CODE-QUALITY.md" TargetMode="External" /><Relationship Type="http://schemas.openxmlformats.org/officeDocument/2006/relationships/hyperlink" Id="rId16" Target="DEPENDENCY-INTEGRITY.md" TargetMode="External" /><Relationship Type="http://schemas.openxmlformats.org/officeDocument/2006/relationships/hyperlink" Id="rId43" Target="DILIGENCE-PACKET.md" TargetMode="External" /><Relationship Type="http://schemas.openxmlformats.org/officeDocument/2006/relationships/hyperlink" Id="rId46" Target="OVERVIEW.md" TargetMode="External" /><Relationship Type="http://schemas.openxmlformats.org/officeDocument/2006/relationships/hyperlink" Id="rId12" Target="OVERVIEW.md#the-files" TargetMode="External" /><Relationship Type="http://schemas.openxmlformats.org/officeDocument/2006/relationships/hyperlink" Id="rId22" Target="SECURE-DEVELOPMENT.md" TargetMode="External" /><Relationship Type="http://schemas.openxmlformats.org/officeDocument/2006/relationships/hyperlink" Id="rId9" Target="WHICH-STANDARDS-APPLY.md" TargetMode="External" /><Relationship Type="http://schemas.openxmlformats.org/officeDocument/2006/relationships/hyperlink" Id="rId40" Target="https://csrc.nist.gov/Projects/ssdf/publications" TargetMode="External" /><Relationship Type="http://schemas.openxmlformats.org/officeDocument/2006/relationships/hyperlink" Id="rId34" Target="https://csrc.nist.gov/publications" TargetMode="External" /><Relationship Type="http://schemas.openxmlformats.org/officeDocument/2006/relationships/hyperlink" Id="rId35" Target="https://digital-strategy.ec.europa.eu/en/policies/cyber-resilience-act"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 Type="http://schemas.openxmlformats.org/officeDocument/2006/relationships/hyperlink" Id="rId41" Target="https://slsa.dev/spec/v1.2/build-requirements" TargetMode="External" /><Relationship Type="http://schemas.openxmlformats.org/officeDocument/2006/relationships/hyperlink" Id="rId13" Target="https://wshallwshall.github.io/claude-multisession/standards/WHICH-STANDARDS-APPLY.html#what-this-page-did-not-assess" TargetMode="External" /><Relationship Type="http://schemas.openxmlformats.org/officeDocument/2006/relationships/hyperlink" Id="rId39" Target="https://www.cisa.gov/resources-tools/resources/2026-minimum-elements-software-bill-materials-sbom" TargetMode="External" /><Relationship Type="http://schemas.openxmlformats.org/officeDocument/2006/relationships/hyperlink" Id="rId36" Target="https://www.federalregister.gov/" TargetMode="External" /><Relationship Type="http://schemas.openxmlformats.org/officeDocument/2006/relationships/hyperlink" Id="rId37" Target="https://www.fedramp.gov/2026/definitions/" TargetMode="External" /><Relationship Type="http://schemas.openxmlformats.org/officeDocument/2006/relationships/hyperlink" Id="rId38"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2026-08-08T00:08:47Z</dcterms:created>
  <dcterms:modified xsi:type="dcterms:W3CDTF">2026-08-08T00:08:47Z</dcterms:modified>
</cp:coreProperties>
</file>

<file path=docProps/custom.xml><?xml version="1.0" encoding="utf-8"?>
<Properties xmlns="http://schemas.openxmlformats.org/officeDocument/2006/custom-properties" xmlns:vt="http://schemas.openxmlformats.org/officeDocument/2006/docPropsVTypes"/>
</file>