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One question separates a control from a report: does failing it stop the change?</w:t>
      </w:r>
      <w:r>
        <w:t xml:space="preserve"> </w:t>
      </w:r>
      <w:r>
        <w:t xml:space="preserve">A tool</w:t>
      </w:r>
      <w:r>
        <w:t xml:space="preserve"> </w:t>
      </w:r>
      <w:r>
        <w:t xml:space="preserve">inventory, a dashboard and a scan that runs overnight and emails somebody all describe work being</w:t>
      </w:r>
      <w:r>
        <w:t xml:space="preserve"> </w:t>
      </w:r>
      <w:r>
        <w:t xml:space="preserve">done. None of them is a rule being enforced. Which checks can stop a change is a setting in your</w:t>
      </w:r>
      <w:r>
        <w:t xml:space="preserve"> </w:t>
      </w:r>
      <w:r>
        <w:t xml:space="preserve">pipeline rather than a property of the tools, and it is routinely different from what the people</w:t>
      </w:r>
      <w:r>
        <w:t xml:space="preserve"> </w:t>
      </w:r>
      <w:r>
        <w:t xml:space="preserve">accountable for it believe.</w:t>
      </w:r>
    </w:p>
    <w:p>
      <w:pPr>
        <w:pStyle w:val="BodyText"/>
      </w:pPr>
      <w:r>
        <w:t xml:space="preserve">Sorted that way, most of a compliance program does not automate. Of the roughly 150 controls this</w:t>
      </w:r>
      <w:r>
        <w:t xml:space="preserve"> </w:t>
      </w:r>
      <w:r>
        <w:t xml:space="preserve">document set asks for, about five in six would not stop anything: most need human judgment that no</w:t>
      </w:r>
      <w:r>
        <w:t xml:space="preserve"> </w:t>
      </w:r>
      <w:r>
        <w:t xml:space="preserve">configuration supplies, and the rest describe work a machine could decide that nobody has wired to</w:t>
      </w:r>
      <w:r>
        <w:t xml:space="preserve"> </w:t>
      </w:r>
      <w:r>
        <w:t xml:space="preserve">a block.</w:t>
      </w:r>
    </w:p>
    <w:p>
      <w:pPr>
        <w:pStyle w:val="BodyText"/>
      </w:pPr>
      <w:r>
        <w:t xml:space="preserve">Three things to do, in order. None of them needs a project: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What automation buys is narrower than the pitch: a class of failure stops recurring without anyone</w:t>
      </w:r>
      <w:r>
        <w:t xml:space="preserve"> </w:t>
      </w:r>
      <w:r>
        <w:t xml:space="preserve">remembering to look for it, and reviewer hours move off mechanical findings onto judgment. Fund it</w:t>
      </w:r>
      <w:r>
        <w:t xml:space="preserve"> </w:t>
      </w:r>
      <w:r>
        <w:t xml:space="preserve">on those two. The cost-avoidance multiple you have heard quoted does not survive contact with its</w:t>
      </w:r>
      <w:r>
        <w:t xml:space="preserve"> </w:t>
      </w:r>
      <w:r>
        <w:t xml:space="preserve">sources, and neither does the delivery-speed claim --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pPr>
        <w:pStyle w:val="BodyText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ask</w:t>
        </w:r>
      </w:hyperlink>
      <w:r>
        <w:t xml:space="preserve">. Running the team and justifying the spend:</w:t>
      </w:r>
      <w:r>
        <w:t xml:space="preserve"> </w:t>
      </w:r>
      <w:r>
        <w:t xml:space="preserve">start with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 (</w:t>
      </w:r>
      <w:hyperlink r:id="rId13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5">
        <w:r>
          <w:rPr>
            <w:rStyle w:val="Hyperlink"/>
          </w:rPr>
          <w:t xml:space="preserve">How to adopt these, step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7"/>
    <w:bookmarkStart w:id="19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 (</w:t>
      </w:r>
      <w:hyperlink r:id="rId15">
        <w:r>
          <w:rPr>
            <w:rStyle w:val="Hyperlink"/>
          </w:rPr>
          <w:t xml:space="preserve">How to adopt these, step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Code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quality</w:t>
        </w:r>
      </w:hyperlink>
      <w:r>
        <w:t xml:space="preserve">). One large engineering organization reached the same conclusion by</w:t>
      </w:r>
      <w:r>
        <w:t xml:space="preserve"> </w:t>
      </w:r>
      <w:r>
        <w:t xml:space="preserve">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19"/>
    <w:bookmarkStart w:id="21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0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1"/>
    <w:bookmarkStart w:id="22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4" Target="../LEAK-GATE.md#the-caveat-that-matters-most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CI-AND-STANDARDS.md#a-check-that-cannot-fail-is-not-a-control" TargetMode="External" /><Relationship Type="http://schemas.openxmlformats.org/officeDocument/2006/relationships/hyperlink" Id="rId13" Target="../CI-AND-STANDARDS.md#blocking-and-advisory-are-not-the-same-coverage" TargetMode="External" /><Relationship Type="http://schemas.openxmlformats.org/officeDocument/2006/relationships/hyperlink" Id="rId14" Target="../LEAK-GATE.md#the-caveat-that-matters-most" TargetMode="External" /><Relationship Type="http://schemas.openxmlformats.org/officeDocument/2006/relationships/hyperlink" Id="rId15" Target="ADOPTING-THESE.md#step-4-automate-wherever-possible-so-it-stays-done" TargetMode="External" /><Relationship Type="http://schemas.openxmlformats.org/officeDocument/2006/relationships/hyperlink" Id="rId20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CI-ENFORCEMENT.md" TargetMode="External" /><Relationship Type="http://schemas.openxmlformats.org/officeDocument/2006/relationships/hyperlink" Id="rId10" Target="https://raw.githubusercontent.com/wshallwshall/claude-multisession/main/docs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2026-08-07T00:37:35Z</dcterms:created>
  <dcterms:modified xsi:type="dcterms:W3CDTF">2026-08-07T00:37:35Z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