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odyText"/>
      </w:pPr>
      <w:r>
        <w:t xml:space="preserve">Adoption is five steps, and each one ends in an artifact that either exists or does not: a marked</w:t>
      </w:r>
      <w:r>
        <w:t xml:space="preserve"> </w:t>
      </w:r>
      <w:r>
        <w:t xml:space="preserve">worksheet, a deviations register, a three-item queue, a set of checks with dates against them, and a</w:t>
      </w:r>
      <w:r>
        <w:t xml:space="preserve"> </w:t>
      </w:r>
      <w:r>
        <w:t xml:space="preserve">project instruction file that references all four. Those artifacts are the deliverable. Having read</w:t>
      </w:r>
      <w:r>
        <w:t xml:space="preserve"> </w:t>
      </w:r>
      <w:r>
        <w:t xml:space="preserve">the documents is not.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7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2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"Scanner posture: what blocks, what advises, what may never</w:t>
      </w:r>
      <w:r>
        <w:rPr>
          <w:i/>
          <w:iCs/>
        </w:rPr>
        <w:t xml:space="preserve"> </w:t>
      </w:r>
      <w:r>
        <w:rPr>
          <w:i/>
          <w:iCs/>
        </w:rPr>
        <w:t xml:space="preserve">be waived"</w:t>
      </w:r>
      <w:r>
        <w:t xml:space="preserve">, and its subheading</w:t>
      </w:r>
      <w:r>
        <w:t xml:space="preserve"> </w:t>
      </w:r>
      <w:r>
        <w:rPr>
          <w:i/>
          <w:iCs/>
        </w:rPr>
        <w:t xml:space="preserve">"What must block, and may not be waived"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"Shared</w:t>
      </w:r>
      <w:r>
        <w:rPr>
          <w:i/>
          <w:iCs/>
        </w:rPr>
        <w:t xml:space="preserve"> </w:t>
      </w:r>
      <w:r>
        <w:rPr>
          <w:i/>
          <w:iCs/>
        </w:rPr>
        <w:t xml:space="preserve">responsibility: write the split down first"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3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Most of what follows is upgrading a control you already run into the shape the rule asks for,</w:t>
      </w:r>
      <w:r>
        <w:t xml:space="preserve"> </w:t>
      </w:r>
      <w:r>
        <w:t xml:space="preserve">rather than building one.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 That instruction is this page's own addition, borrowing a habit the assessment method</w:t>
      </w:r>
      <w:r>
        <w:t xml:space="preserve"> </w:t>
      </w:r>
      <w:r>
        <w:t xml:space="preserve">applies to a published standard's text (</w:t>
      </w:r>
      <w:hyperlink r:id="rId16">
        <w:r>
          <w:rPr>
            <w:rStyle w:val="Hyperlink"/>
          </w:rPr>
          <w:t xml:space="preserve">Security standard assessment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"Pin</w:t>
      </w:r>
      <w:r>
        <w:rPr>
          <w:i/>
          <w:iCs/>
        </w:rPr>
        <w:t xml:space="preserve"> </w:t>
      </w:r>
      <w:r>
        <w:rPr>
          <w:i/>
          <w:iCs/>
        </w:rPr>
        <w:t xml:space="preserve">the corpus, and stamp the version on every number"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Start w:id="20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8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19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r>
        <w:rPr>
          <w:i/>
          <w:iCs/>
        </w:rPr>
        <w:t xml:space="preserve">"The order</w:t>
      </w:r>
      <w:r>
        <w:rPr>
          <w:i/>
          <w:iCs/>
        </w:rPr>
        <w:t xml:space="preserve"> </w:t>
      </w:r>
      <w:r>
        <w:rPr>
          <w:i/>
          <w:iCs/>
        </w:rPr>
        <w:t xml:space="preserve">to read them in"</w:t>
      </w:r>
      <w:r>
        <w:t xml:space="preserve">. That section tells you what to read; this page tells you what to do with it.</w:t>
      </w:r>
    </w:p>
    <w:p>
      <w:r>
        <w:pict>
          <v:rect style="width:0;height:1.5pt" o:hralign="center" o:hrstd="t" o:hr="t"/>
        </w:pict>
      </w:r>
    </w:p>
    <w:bookmarkEnd w:id="20"/>
    <w:bookmarkStart w:id="21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the assistant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1"/>
    <w:bookmarkStart w:id="24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"Three additions specific to a</w:t>
      </w:r>
      <w:r>
        <w:rPr>
          <w:i/>
          <w:iCs/>
        </w:rPr>
        <w:t xml:space="preserve"> </w:t>
      </w:r>
      <w:r>
        <w:rPr>
          <w:i/>
          <w:iCs/>
        </w:rPr>
        <w:t xml:space="preserve">security posture"</w:t>
      </w:r>
      <w:r>
        <w:t xml:space="preserve">.</w:t>
      </w:r>
    </w:p>
    <w:p>
      <w:pPr>
        <w:pStyle w:val="FirstParagraph"/>
      </w:pPr>
      <w:r>
        <w:t xml:space="preserve">Fill in the starter set. Seven rows. The afternoon list above is how the first of them get filled;</w:t>
      </w:r>
      <w:r>
        <w:t xml:space="preserve"> </w:t>
      </w:r>
      <w:hyperlink w:anchor="the-worksheet">
        <w:r>
          <w:rPr>
            <w:rStyle w:val="Hyperlink"/>
          </w:rPr>
          <w:t xml:space="preserve">the worksheet</w:t>
        </w:r>
      </w:hyperlink>
      <w:r>
        <w:t xml:space="preserve"> </w:t>
      </w:r>
      <w:r>
        <w:t xml:space="preserve">at the end of this page is the backlog you work through over</w:t>
      </w:r>
      <w:r>
        <w:t xml:space="preserve"> </w:t>
      </w:r>
      <w:r>
        <w:t xml:space="preserve">releases, 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Secrets and restricted data kept out of the repository and its full history, backed by a fail-closed commit-time content scan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Secrets and repository hygiene</w:t>
            </w:r>
            <w:r>
              <w:t xml:space="preserve">;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the leak gate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security row entire -- are not in the</w:t>
      </w:r>
      <w:r>
        <w:t xml:space="preserve"> </w:t>
      </w:r>
      <w:r>
        <w:t xml:space="preserve">shipped project instruction template, and both carry the verdict. Step 5 returns to 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4"/>
    <w:bookmarkStart w:id="28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section, and the do-not-weaken items live there. Changing something that section</w:t>
      </w:r>
      <w:r>
        <w:t xml:space="preserve"> </w:t>
      </w:r>
      <w:r>
        <w:t xml:space="preserve">invites you to change is tailoring and owes no record. Striking a do-not-weaken item is a deviation</w:t>
      </w:r>
      <w:r>
        <w:t xml:space="preserve"> </w:t>
      </w:r>
      <w:r>
        <w:t xml:space="preserve">and owes all four fields below. Three of the sections carry two literal lists,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--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. The other two</w:t>
      </w:r>
      <w:r>
        <w:t xml:space="preserve"> </w:t>
      </w:r>
      <w:r>
        <w:t xml:space="preserve">do not, and the difference matters: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 </w:t>
      </w:r>
      <w:r>
        <w:t xml:space="preserve">states its first list as</w:t>
      </w:r>
      <w:r>
        <w:t xml:space="preserve"> </w:t>
      </w:r>
      <w:r>
        <w:rPr>
          <w:i/>
          <w:iCs/>
        </w:rPr>
        <w:t xml:space="preserve">what you must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, so those items are obligations rather than options;</w:t>
      </w:r>
      <w:r>
        <w:t xml:space="preserve"> </w:t>
      </w:r>
      <w:hyperlink r:id="rId25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states no split at all, and calls its do-not-weaken item out inline.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6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2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 satisfied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control"</w:t>
      </w:r>
      <w:r>
        <w:t xml:space="preserve">, and in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 what it does</w:t>
      </w:r>
      <w:r>
        <w:t xml:space="preserve"> </w:t>
      </w:r>
      <w:r>
        <w:t xml:space="preserve">not do: it does not drop the practice. The requirement stays unmet, named and dated, with an event</w:t>
      </w:r>
      <w:r>
        <w:t xml:space="preserve"> </w:t>
      </w:r>
      <w:r>
        <w:t xml:space="preserve">that ends the arrangement.</w:t>
      </w:r>
    </w:p>
    <w:bookmarkEnd w:id="26"/>
    <w:bookmarkStart w:id="27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At least five shapes of the same failure are named across the set, and each</w:t>
      </w:r>
      <w:r>
        <w:t xml:space="preserve"> </w:t>
      </w:r>
      <w:r>
        <w:t xml:space="preserve">produces a document that survives accuracy review while describing a practice that does not exist:</w:t>
      </w:r>
      <w:r>
        <w:t xml:space="preserve"> </w:t>
      </w:r>
      <w:r>
        <w:t xml:space="preserve">redefining the pass bar so "it can be configured" counts; widening a soft grade until it absorbs</w:t>
      </w:r>
      <w:r>
        <w:t xml:space="preserve"> </w:t>
      </w:r>
      <w:r>
        <w:t xml:space="preserve">everything ambiguous; writing scope as exclusions that grow to swallow inconvenient cases;</w:t>
      </w:r>
      <w:r>
        <w:t xml:space="preserve"> </w:t>
      </w:r>
      <w:r>
        <w:t xml:space="preserve">transferring an 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29">
        <w:r>
          <w:rPr>
            <w:rStyle w:val="Hyperlink"/>
          </w:rPr>
          <w:t xml:space="preserve">Case study: a drift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</w:t>
      </w:r>
      <w:r>
        <w:rPr>
          <w:i/>
          <w:iCs/>
        </w:rPr>
        <w:t xml:space="preserve"> </w:t>
      </w:r>
      <w:r>
        <w:rPr>
          <w:i/>
          <w:iCs/>
        </w:rPr>
        <w:t xml:space="preserve">defended"</w:t>
      </w:r>
      <w:r>
        <w:t xml:space="preserve">). A prioritization scheme that cannot be checked is the same defect named elsewhere as a</w:t>
      </w:r>
      <w:r>
        <w:t xml:space="preserve"> </w:t>
      </w:r>
      <w:r>
        <w:t xml:space="preserve">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19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31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Shared responsibility: write the split down first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What "restricted data" means here, exactly 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four lists cannot express.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 (</w:t>
      </w:r>
      <w:hyperlink r:id="rId15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security anti-metrics"</w:t>
      </w:r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 (</w:t>
      </w:r>
      <w:hyperlink r:id="rId15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 Where a</w:t>
      </w:r>
      <w:r>
        <w:t xml:space="preserve"> </w:t>
      </w:r>
      <w:r>
        <w:t xml:space="preserve">rule cannot be automated, record it as convention-only and therefore unenforced rather than letting</w:t>
      </w:r>
      <w:r>
        <w:t xml:space="preserve"> </w:t>
      </w:r>
      <w:r>
        <w:t xml:space="preserve">it pass as covered (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 day as the</w:t>
      </w:r>
      <w:r>
        <w:rPr>
          <w:i/>
          <w:iCs/>
        </w:rPr>
        <w:t xml:space="preserve"> </w:t>
      </w:r>
      <w:r>
        <w:rPr>
          <w:i/>
          <w:iCs/>
        </w:rPr>
        <w:t xml:space="preserve">rule"</w:t>
      </w:r>
      <w:r>
        <w:t xml:space="preserve">).</w:t>
      </w:r>
    </w:p>
    <w:bookmarkStart w:id="33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3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 audit mode</w:t>
      </w:r>
      <w:r>
        <w:rPr>
          <w:i/>
          <w:iCs/>
        </w:rPr>
        <w:t xml:space="preserve"> </w:t>
      </w:r>
      <w:r>
        <w:rPr>
          <w:i/>
          <w:iCs/>
        </w:rPr>
        <w:t xml:space="preserve">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the leak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gate</w:t>
        </w:r>
      </w:hyperlink>
      <w:r>
        <w:t xml:space="preserve">; read them there.</w:t>
      </w:r>
    </w:p>
    <w:bookmarkEnd w:id="33"/>
    <w:bookmarkStart w:id="34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At least these, and your setting will add more. Say them out loud in your own record, because a</w:t>
      </w:r>
      <w:r>
        <w:t xml:space="preserve"> </w:t>
      </w:r>
      <w:r>
        <w:t xml:space="preserve">green control plane otherwise implies coverage it 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25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 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2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8f8ce78d1275d6b64745e844e9b4e0b80eddb9e"/>
    <w:p>
      <w:pPr>
        <w:pStyle w:val="Heading2"/>
      </w:pPr>
      <w:r>
        <w:t xml:space="preserve">Step 5: put the result where the assistant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37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Standing rules here are loaded by the assistant at the start of every session, so a rule that is not</w:t>
      </w:r>
      <w:r>
        <w:t xml:space="preserve"> </w:t>
      </w:r>
      <w:r>
        <w:t xml:space="preserve">in that file is not in force for the actor writing most of the code.</w:t>
      </w:r>
      <w:r>
        <w:t xml:space="preserve"> </w:t>
      </w:r>
      <w:hyperlink r:id="rId19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states the consequence: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Four of those five are Tier 1 rows</w:t>
      </w:r>
      <w:r>
        <w:t xml:space="preserve"> </w:t>
      </w:r>
      <w:r>
        <w:t xml:space="preserve">from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 verdict"</w:t>
      </w:r>
      <w:r>
        <w:t xml:space="preserve"> </w:t>
      </w:r>
      <w:r>
        <w:t xml:space="preserve">(architecture, types, dependencies, published artifact); the fifth, the secret scan, comes from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"Secrets and repository hygiene"</w:t>
      </w:r>
      <w:r>
        <w:t xml:space="preserve">. So copying the</w:t>
      </w:r>
      <w:r>
        <w:t xml:space="preserve"> </w:t>
      </w:r>
      <w:r>
        <w:t xml:space="preserve">template verbatim leaves two of the six verdict-carrying Tier 1 rows out of your table altogether:</w:t>
      </w:r>
      <w:r>
        <w:t xml:space="preserve"> </w:t>
      </w:r>
      <w:r>
        <w:rPr>
          <w:i/>
          <w:iCs/>
        </w:rPr>
        <w:t xml:space="preserve">tests verify behavior</w:t>
      </w:r>
      <w:r>
        <w:t xml:space="preserve">, and</w:t>
      </w:r>
      <w:r>
        <w:t xml:space="preserve"> </w:t>
      </w:r>
      <w:r>
        <w:rPr>
          <w:i/>
          <w:iCs/>
        </w:rPr>
        <w:t xml:space="preserve">security scanning plus a threat model</w:t>
      </w:r>
      <w:r>
        <w:t xml:space="preserve"> </w:t>
      </w:r>
      <w:r>
        <w:t xml:space="preserve">in all three of its parts --</w:t>
      </w:r>
      <w:r>
        <w:t xml:space="preserve"> </w:t>
      </w:r>
      <w:r>
        <w:t xml:space="preserve">blocking scanners, a written threat model, and a human review step. The secret scan does not stand</w:t>
      </w:r>
      <w:r>
        <w:t xml:space="preserve"> </w:t>
      </w:r>
      <w:r>
        <w:t xml:space="preserve">in for the scanner part: secret scanning is one of three checks in the unwaivable blocking set, not</w:t>
      </w:r>
      <w:r>
        <w:t xml:space="preserve"> </w:t>
      </w:r>
      <w:r>
        <w:t xml:space="preserve">the whole of it (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"What must block, and may not be</w:t>
      </w:r>
      <w:r>
        <w:rPr>
          <w:i/>
          <w:iCs/>
        </w:rPr>
        <w:t xml:space="preserve"> </w:t>
      </w:r>
      <w:r>
        <w:rPr>
          <w:i/>
          <w:iCs/>
        </w:rPr>
        <w:t xml:space="preserve">waived"</w:t>
      </w:r>
      <w:r>
        <w:t xml:space="preserve">). Not-built rows 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38"/>
    <w:bookmarkStart w:id="44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3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19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calls its controls the most mechanical of the set and the one most likely to</w:t>
      </w:r>
      <w:r>
        <w:t xml:space="preserve"> </w:t>
      </w:r>
      <w:r>
        <w:t xml:space="preserve">be adopted close to whole, and because it holds both a clear Partial and a control that can never be</w:t>
      </w:r>
      <w:r>
        <w:t xml:space="preserve"> </w:t>
      </w:r>
      <w:r>
        <w:t xml:space="preserve">automated.</w:t>
      </w:r>
    </w:p>
    <w:bookmarkStart w:id="39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39"/>
    <w:bookmarkStart w:id="40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40"/>
    <w:bookmarkStart w:id="41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41"/>
    <w:bookmarkStart w:id="42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r>
        <w:rPr>
          <w:i/>
          <w:iCs/>
        </w:rPr>
        <w:t xml:space="preserve">Every manifest in the repository</w:t>
      </w:r>
      <w:r>
        <w:rPr>
          <w:i/>
          <w:iCs/>
        </w:rPr>
        <w:t xml:space="preserve"> </w:t>
      </w:r>
      <w:r>
        <w:rPr>
          <w:i/>
          <w:iCs/>
        </w:rPr>
        <w:t xml:space="preserve">needs its own audit 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r>
        <w:rPr>
          <w:i/>
          <w:iCs/>
        </w:rPr>
        <w:t xml:space="preserve">Roll a blocking verification control out in audit mode first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 (</w:t>
      </w:r>
      <w:r>
        <w:rPr>
          <w:i/>
          <w:iCs/>
        </w:rPr>
        <w:t xml:space="preserve">"The hallucinated package, and why an AI coding</w:t>
      </w:r>
      <w:r>
        <w:rPr>
          <w:i/>
          <w:iCs/>
        </w:rPr>
        <w:t xml:space="preserve"> </w:t>
      </w:r>
      <w:r>
        <w:rPr>
          <w:i/>
          <w:iCs/>
        </w:rPr>
        <w:t xml:space="preserve">assistant makes it routine"</w:t>
      </w:r>
      <w:r>
        <w:t xml:space="preserve">). It leaves the automation column and becomes a named human obligation</w:t>
      </w:r>
      <w:r>
        <w:t xml:space="preserve"> </w:t>
      </w:r>
      <w:r>
        <w:t xml:space="preserve">in the project instruction file.</w:t>
      </w:r>
    </w:p>
    <w:bookmarkEnd w:id="42"/>
    <w:bookmarkStart w:id="43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45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45"/>
    <w:bookmarkStart w:id="46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Five failure modes, and the control for each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Classify in one question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resolver: clamp to strictest, fail closed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assistant reads is data, never instructions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assistant's identity and version retained as a provenance signal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sanctioned exception, written so it cannot widen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build tooling is a supply-chain surface nobody scans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commit scanner is not a live interceptor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project instruction file is a maintained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Quote the invariant, do not gesture at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Write a testable intent before prompting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Memory holds facts, never values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Compaction is a choice about what to keep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Recovering from context degradation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 parity is a review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Provenance: record it, and count it before you cite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deviations register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Claims and wording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attestation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adversarial verification pass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The shape that keeps a pass independent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Findings from a sweep are candidates, not findings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 pass earns its cost, and when it is waste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6"/>
    <w:bookmarkStart w:id="47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Two conditions that force a full read regardless of tier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floor: 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AI-assisted explanation is contested, and accepted here with guardrails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to ask a team, and what a good answer sounds like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7"/>
    <w:bookmarkStart w:id="48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2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Tell an applying tool which duplication is deliberate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Widen a blocking lint ruleset from a clean baseline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anti-metric rule (hard)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Failure mode, control, owner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each gate belongs: the local loop, the pipeline, or both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 an applying tool before the local check quartet, never after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applying tool is not a control, and it may not be scored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Re-derive placement after any repair to the gate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record a row as built without a proof-of-execution receipt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an advisory finding a delta against the merge base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Put advisory findings where the reviewer already is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Install the gate's own tooling from a checked-in lock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Keep volatile counts out of the narrative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the code: depth tiers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Anchor a review record to a stable name, not a line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a trust boundary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Confirming the control plane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review is self-review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8"/>
    <w:bookmarkStart w:id="49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hallucinated package, and why an AI coding assistant makes it routine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Explaining code and reading dependencies are different obligations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Vendored code is owned code, not a dependency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version bump is a bounded 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credentials should be minted per run, not stored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identity does not cover the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signing scheme nobody can verify is not a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Build provenance, and the lowest-tech verification path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component inventory is not tamper detection, and saying so matters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Archive each release with its build inputs and its inventory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self-integrity check, and the bootstrap-trust problem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a blocking verification control out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State the objective honestly: detection, not prevention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integrity story for source-available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Which rules are universal, and which are one ecosystem's mechanics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9"/>
    <w:bookmarkStart w:id="50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Shared responsibility: write the split down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third participant: services neither column owns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Execution boundaries need the longest look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coding: the finite list a review can check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Review, and what to do 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Self-review is a documented deviation, not a satisfied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comprehension bar, and two additions to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Scanner posture: what blocks, what advises, what may never be waived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security anti-metrics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Secrets and repository hygiene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data by default in anything that is not production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Rate a collection by the highest class it holds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Machine-to-machine authentication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Service accounts: no long-lived secret in a file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Tamper-evident audit logging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controls, and the limit each one carries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an adopter can verify without contacting you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control you are looking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Runtime tamper resistance, and the bootstrap-trust limit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out a blocking verification control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Independent external verification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release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 the control plane before reading any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the rules come from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50"/>
    <w:bookmarkStart w:id="51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16">
        <w:r>
          <w:rPr>
            <w:rStyle w:val="Hyperlink"/>
          </w:rPr>
          <w:t xml:space="preserve">Security standard assessment</w:t>
        </w:r>
      </w:hyperlink>
      <w:r>
        <w:t xml:space="preserve">. These apply only if you assess a codebase</w:t>
      </w:r>
      <w:r>
        <w:t xml:space="preserve"> </w:t>
      </w:r>
      <w:r>
        <w:t xml:space="preserve">against a standard with many individually verifiable 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Hold the standard's own text locally, pinned by version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Pin the corpus, and stamp the version on every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One computed record is the authority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verdict vocabulary that cannot be misread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decision procedure: ordered, first match wins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Declare scope positively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One requirement x one declared configuration is the reviewable unit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Not applicable must be argued, never assumed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Evidence: an anchor a machine can re-check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Anchor to a token, not to a line number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absence claim without a live positive control is void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score against a paraphrase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to read a movement in the numbers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the reviewer execute the citation, not read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Deployment-time controls in software nobody has deployed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Partitioning the work across agents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53"/>
    <w:bookmarkStart w:id="55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The standards landscape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ASVS-ASSESSMENT.md" TargetMode="External" /><Relationship Type="http://schemas.openxmlformats.org/officeDocument/2006/relationships/hyperlink" Id="rId29" Target="../CASE-STUDY-drift-audit.md" TargetMode="External" /><Relationship Type="http://schemas.openxmlformats.org/officeDocument/2006/relationships/hyperlink" Id="rId15" Target="../CI-AND-STANDARDS.md" TargetMode="External" /><Relationship Type="http://schemas.openxmlformats.org/officeDocument/2006/relationships/hyperlink" Id="rId36" Target="../FEED-THIS-TO-CLAUDE-CODE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14" Target="AI-ASSISTED-DEVELOPMENT.md" TargetMode="External" /><Relationship Type="http://schemas.openxmlformats.org/officeDocument/2006/relationships/hyperlink" Id="rId30" Target="CISO-SUMMARY.md" TargetMode="External" /><Relationship Type="http://schemas.openxmlformats.org/officeDocument/2006/relationships/hyperlink" Id="rId22" Target="CODE-QUALITY.md" TargetMode="External" /><Relationship Type="http://schemas.openxmlformats.org/officeDocument/2006/relationships/hyperlink" Id="rId13" Target="DEPENDENCY-INTEGRITY.md" TargetMode="External" /><Relationship Type="http://schemas.openxmlformats.org/officeDocument/2006/relationships/hyperlink" Id="rId19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OVERVIEW.md#what-these-are-not" TargetMode="External" /><Relationship Type="http://schemas.openxmlformats.org/officeDocument/2006/relationships/hyperlink" Id="rId25" Target="REVIEW-DEPTH.md" TargetMode="External" /><Relationship Type="http://schemas.openxmlformats.org/officeDocument/2006/relationships/hyperlink" Id="rId12" Target="SECURE-DEVELOPMENT.md" TargetMode="External" /><Relationship Type="http://schemas.openxmlformats.org/officeDocument/2006/relationships/hyperlink" Id="rId54" Target="STANDARDS-LANDSCAPE.md" TargetMode="External" /><Relationship Type="http://schemas.openxmlformats.org/officeDocument/2006/relationships/hyperlink" Id="rId37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ASVS-ASSESSMENT.md" TargetMode="External" /><Relationship Type="http://schemas.openxmlformats.org/officeDocument/2006/relationships/hyperlink" Id="rId29" Target="../CASE-STUDY-drift-audit.md" TargetMode="External" /><Relationship Type="http://schemas.openxmlformats.org/officeDocument/2006/relationships/hyperlink" Id="rId15" Target="../CI-AND-STANDARDS.md" TargetMode="External" /><Relationship Type="http://schemas.openxmlformats.org/officeDocument/2006/relationships/hyperlink" Id="rId36" Target="../FEED-THIS-TO-CLAUDE-CODE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14" Target="AI-ASSISTED-DEVELOPMENT.md" TargetMode="External" /><Relationship Type="http://schemas.openxmlformats.org/officeDocument/2006/relationships/hyperlink" Id="rId30" Target="CISO-SUMMARY.md" TargetMode="External" /><Relationship Type="http://schemas.openxmlformats.org/officeDocument/2006/relationships/hyperlink" Id="rId22" Target="CODE-QUALITY.md" TargetMode="External" /><Relationship Type="http://schemas.openxmlformats.org/officeDocument/2006/relationships/hyperlink" Id="rId13" Target="DEPENDENCY-INTEGRITY.md" TargetMode="External" /><Relationship Type="http://schemas.openxmlformats.org/officeDocument/2006/relationships/hyperlink" Id="rId19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OVERVIEW.md#what-these-are-not" TargetMode="External" /><Relationship Type="http://schemas.openxmlformats.org/officeDocument/2006/relationships/hyperlink" Id="rId25" Target="REVIEW-DEPTH.md" TargetMode="External" /><Relationship Type="http://schemas.openxmlformats.org/officeDocument/2006/relationships/hyperlink" Id="rId12" Target="SECURE-DEVELOPMENT.md" TargetMode="External" /><Relationship Type="http://schemas.openxmlformats.org/officeDocument/2006/relationships/hyperlink" Id="rId54" Target="STANDARDS-LANDSCAPE.md" TargetMode="External" /><Relationship Type="http://schemas.openxmlformats.org/officeDocument/2006/relationships/hyperlink" Id="rId37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2026-08-06T10:39:17Z</dcterms:created>
  <dcterms:modified xsi:type="dcterms:W3CDTF">2026-08-06T10:39:17Z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