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 as a composite of two layers, and never on one row of either. A</w:t>
      </w:r>
      <w:r>
        <w:t xml:space="preserve"> </w:t>
      </w:r>
      <w:r>
        <w:t xml:space="preserve">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in the two places that resist automation: threat modeling before</w:t>
      </w:r>
      <w:r>
        <w:t xml:space="preserve"> </w:t>
      </w:r>
      <w:r>
        <w:t xml:space="preserve">the build, and vulnerability response rehearsed end to end. Controls you do not own and must not</w:t>
      </w:r>
      <w:r>
        <w:t xml:space="preserve"> </w:t>
      </w:r>
      <w:r>
        <w:t xml:space="preserve">claim, because they belong to whoever runs the software. And a gap you cannot close by working</w:t>
      </w:r>
      <w:r>
        <w:t xml:space="preserve"> </w:t>
      </w:r>
      <w:r>
        <w:t xml:space="preserve">harder, held under a signed acceptance rather than argued away.</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them is what this costs and where to start; what sits after them is where each rule came from and what may be claimed. Subsections are reached from the cross-references in the body, which link to them directly.</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hyperlink w:anchor="Xf8794b0126bc78285fb10778097a0695650e57d">
        <w:r>
          <w:rPr>
            <w:rStyle w:val="Hyperlink"/>
          </w:rPr>
          <w:t xml:space="preserve">Shared responsibility: write the split down first</w:t>
        </w:r>
      </w:hyperlink>
    </w:p>
    <w:p>
      <w:pPr>
        <w:pStyle w:val="Compact"/>
        <w:numPr>
          <w:ilvl w:val="0"/>
          <w:numId w:val="1001"/>
        </w:numPr>
      </w:pPr>
      <w:hyperlink w:anchor="Xac02c7d32d5bb277c9e44f3436addfe1b1747df">
        <w:r>
          <w:rPr>
            <w:rStyle w:val="Hyperlink"/>
          </w:rPr>
          <w:t xml:space="preserve">Threat model each trust boundary before you build it</w:t>
        </w:r>
      </w:hyperlink>
    </w:p>
    <w:p>
      <w:pPr>
        <w:pStyle w:val="Compact"/>
        <w:numPr>
          <w:ilvl w:val="0"/>
          <w:numId w:val="1001"/>
        </w:numPr>
      </w:pPr>
      <w:hyperlink w:anchor="X856bc933e26f1c9456cb19e64981d263d6663dc">
        <w:r>
          <w:rPr>
            <w:rStyle w:val="Hyperlink"/>
          </w:rPr>
          <w:t xml:space="preserve">Secure coding: the finite list a review can check</w:t>
        </w:r>
      </w:hyperlink>
    </w:p>
    <w:p>
      <w:pPr>
        <w:pStyle w:val="Compact"/>
        <w:numPr>
          <w:ilvl w:val="0"/>
          <w:numId w:val="1001"/>
        </w:numPr>
      </w:pPr>
      <w:hyperlink w:anchor="Xd0d2e3c2022a6968f9346992769e0293d735ca2">
        <w:r>
          <w:rPr>
            <w:rStyle w:val="Hyperlink"/>
          </w:rPr>
          <w:t xml:space="preserve">Review, and what to do when there is no second reviewer</w:t>
        </w:r>
      </w:hyperlink>
    </w:p>
    <w:p>
      <w:pPr>
        <w:pStyle w:val="Compact"/>
        <w:numPr>
          <w:ilvl w:val="0"/>
          <w:numId w:val="1001"/>
        </w:numPr>
      </w:pPr>
      <w:hyperlink w:anchor="Xa04daca1c49463ed52ff2475309af2fe8799704">
        <w:r>
          <w:rPr>
            <w:rStyle w:val="Hyperlink"/>
          </w:rPr>
          <w:t xml:space="preserve">Scanner posture: what blocks, what advises, what may never be waived</w:t>
        </w:r>
      </w:hyperlink>
    </w:p>
    <w:p>
      <w:pPr>
        <w:pStyle w:val="Compact"/>
        <w:numPr>
          <w:ilvl w:val="0"/>
          <w:numId w:val="1001"/>
        </w:numPr>
      </w:pPr>
      <w:hyperlink w:anchor="X008abd79804448b13ff485fe9ff5830c953e411">
        <w:r>
          <w:rPr>
            <w:rStyle w:val="Hyperlink"/>
          </w:rPr>
          <w:t xml:space="preserve">Secrets and repository hygiene</w:t>
        </w:r>
      </w:hyperlink>
    </w:p>
    <w:p>
      <w:pPr>
        <w:pStyle w:val="Compact"/>
        <w:numPr>
          <w:ilvl w:val="0"/>
          <w:numId w:val="1001"/>
        </w:numPr>
      </w:pPr>
      <w:hyperlink w:anchor="X14e6323bcf6e9b0e8faa6bdd21b76d13cd211dd">
        <w:r>
          <w:rPr>
            <w:rStyle w:val="Hyperlink"/>
          </w:rPr>
          <w:t xml:space="preserve">Secure defaults, and the opt-in that must be explicit</w:t>
        </w:r>
      </w:hyperlink>
    </w:p>
    <w:p>
      <w:pPr>
        <w:pStyle w:val="Compact"/>
        <w:numPr>
          <w:ilvl w:val="0"/>
          <w:numId w:val="1001"/>
        </w:numPr>
      </w:pPr>
      <w:hyperlink w:anchor="X08c545cdaea16d13c66d050a73fae11a3e2b4eb">
        <w:r>
          <w:rPr>
            <w:rStyle w:val="Hyperlink"/>
          </w:rPr>
          <w:t xml:space="preserve">Machine-to-machine authentication</w:t>
        </w:r>
      </w:hyperlink>
    </w:p>
    <w:p>
      <w:pPr>
        <w:pStyle w:val="Compact"/>
        <w:numPr>
          <w:ilvl w:val="0"/>
          <w:numId w:val="1001"/>
        </w:numPr>
      </w:pPr>
      <w:hyperlink w:anchor="X11a9cb1723e5b511bbccf75d2588530cdcc5b38">
        <w:r>
          <w:rPr>
            <w:rStyle w:val="Hyperlink"/>
          </w:rPr>
          <w:t xml:space="preserve">Tamper-evident audit logging</w:t>
        </w:r>
      </w:hyperlink>
    </w:p>
    <w:p>
      <w:pPr>
        <w:pStyle w:val="Compact"/>
        <w:numPr>
          <w:ilvl w:val="0"/>
          <w:numId w:val="1001"/>
        </w:numPr>
      </w:pPr>
      <w:hyperlink w:anchor="X48eebdbfd8d38cb086e115614d17c7297664944">
        <w:r>
          <w:rPr>
            <w:rStyle w:val="Hyperlink"/>
          </w:rPr>
          <w:t xml:space="preserve">Build and release integrity</w:t>
        </w:r>
      </w:hyperlink>
    </w:p>
    <w:p>
      <w:pPr>
        <w:pStyle w:val="Compact"/>
        <w:numPr>
          <w:ilvl w:val="0"/>
          <w:numId w:val="1001"/>
        </w:numPr>
      </w:pPr>
      <w:hyperlink w:anchor="X254797a2ada8f8185b1c8b4abb87efa09aeaec0">
        <w:r>
          <w:rPr>
            <w:rStyle w:val="Hyperlink"/>
          </w:rPr>
          <w:t xml:space="preserve">Runtime tamper resistance, and the bootstrap-trust limit</w:t>
        </w:r>
      </w:hyperlink>
    </w:p>
    <w:p>
      <w:pPr>
        <w:pStyle w:val="Compact"/>
        <w:numPr>
          <w:ilvl w:val="0"/>
          <w:numId w:val="1001"/>
        </w:numPr>
      </w:pPr>
      <w:hyperlink w:anchor="Xc32b009c31e5f6409196a95ed4c1406da6dc82b">
        <w:r>
          <w:rPr>
            <w:rStyle w:val="Hyperlink"/>
          </w:rPr>
          <w:t xml:space="preserve">Vulnerability response, exercised</w:t>
        </w:r>
      </w:hyperlink>
    </w:p>
    <w:p>
      <w:pPr>
        <w:pStyle w:val="Compact"/>
        <w:numPr>
          <w:ilvl w:val="0"/>
          <w:numId w:val="1001"/>
        </w:numPr>
      </w:pPr>
      <w:hyperlink w:anchor="X2e76d4b347a06a9540373165195f11ae36f497b">
        <w:r>
          <w:rPr>
            <w:rStyle w:val="Hyperlink"/>
          </w:rPr>
          <w:t xml:space="preserve">Deviations and risk acceptance</w:t>
        </w:r>
      </w:hyperlink>
    </w:p>
    <w:p>
      <w:pPr>
        <w:pStyle w:val="Compact"/>
        <w:numPr>
          <w:ilvl w:val="0"/>
          <w:numId w:val="1001"/>
        </w:numPr>
      </w:pPr>
      <w:hyperlink w:anchor="X81f17fbbfa4ed8bd23a7201a27e52cc85d71859">
        <w:r>
          <w:rPr>
            <w:rStyle w:val="Hyperlink"/>
          </w:rPr>
          <w:t xml:space="preserve">Re-evaluate on a trigger, and on a short calendar for what has no trigger</w:t>
        </w:r>
      </w:hyperlink>
    </w:p>
    <w:p>
      <w:pPr>
        <w:pStyle w:val="Compact"/>
        <w:numPr>
          <w:ilvl w:val="0"/>
          <w:numId w:val="1001"/>
        </w:numPr>
      </w:pPr>
      <w:hyperlink w:anchor="X635127d1d4d4de93cff91f98240bebbfa4bd556">
        <w:r>
          <w:rPr>
            <w:rStyle w:val="Hyperlink"/>
          </w:rPr>
          <w:t xml:space="preserve">Independent external verification</w:t>
        </w:r>
      </w:hyperlink>
    </w:p>
    <w:p>
      <w:pPr>
        <w:pStyle w:val="Compact"/>
        <w:numPr>
          <w:ilvl w:val="0"/>
          <w:numId w:val="1001"/>
        </w:numPr>
      </w:pPr>
      <w:hyperlink w:anchor="X166d910d570b75bb8e35866cbb9a8eb190f1767">
        <w:r>
          <w:rPr>
            <w:rStyle w:val="Hyperlink"/>
          </w:rPr>
          <w:t xml:space="preserve">The release gate</w:t>
        </w:r>
      </w:hyperlink>
    </w:p>
    <w:p>
      <w:pPr>
        <w:pStyle w:val="Compact"/>
        <w:numPr>
          <w:ilvl w:val="0"/>
          <w:numId w:val="1001"/>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02"/>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2"/>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2"/>
        </w:numPr>
      </w:pPr>
      <w:r>
        <w:t xml:space="preserve">A finite secure-coding list. A reviewer, human or automated, gets a bounded set of questions</w:t>
      </w:r>
      <w:r>
        <w:t xml:space="preserve"> </w:t>
      </w:r>
      <w:r>
        <w:t xml:space="preserve">instead of an unanswerable one.</w:t>
      </w:r>
    </w:p>
    <w:p>
      <w:pPr>
        <w:pStyle w:val="Compact"/>
        <w:numPr>
          <w:ilvl w:val="0"/>
          <w:numId w:val="1002"/>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2"/>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02"/>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2"/>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2"/>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03"/>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3"/>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3"/>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3"/>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04"/>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4"/>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4"/>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05"/>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05"/>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05"/>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05"/>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05"/>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05"/>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05"/>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05"/>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05"/>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Judge a build's security as a composite of two layers. Never on one row of either.</w:t>
      </w:r>
    </w:p>
    <w:p>
      <w:pPr>
        <w:pStyle w:val="BodyText"/>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Held by the secret store; the running account holds no copy in a file</w:t>
            </w:r>
          </w:p>
        </w:tc>
        <w:tc>
          <w:tcPr/>
          <w:p>
            <w:pPr>
              <w:pStyle w:val="Compact"/>
            </w:pPr>
            <w:r>
              <w:t xml:space="preserve">Rotated automatically, so there is no retained copy for a deletion path to reach</w:t>
            </w:r>
          </w:p>
        </w:tc>
      </w:tr>
    </w:tbl>
    <w:p>
      <w:pPr>
        <w:pStyle w:val="BodyText"/>
      </w:pPr>
      <w:r>
        <w:t xml:space="preserve">Classes that recur:</w:t>
      </w:r>
    </w:p>
    <w:p>
      <w:pPr>
        <w:pStyle w:val="Compact"/>
        <w:numPr>
          <w:ilvl w:val="0"/>
          <w:numId w:val="1006"/>
        </w:numPr>
      </w:pPr>
      <w:r>
        <w:t xml:space="preserve">credentials and key material</w:t>
      </w:r>
    </w:p>
    <w:p>
      <w:pPr>
        <w:pStyle w:val="Compact"/>
        <w:numPr>
          <w:ilvl w:val="0"/>
          <w:numId w:val="1006"/>
        </w:numPr>
      </w:pPr>
      <w:r>
        <w:t xml:space="preserve">data restricted under a regime the adopting organization operates under</w:t>
      </w:r>
    </w:p>
    <w:p>
      <w:pPr>
        <w:pStyle w:val="Compact"/>
        <w:numPr>
          <w:ilvl w:val="0"/>
          <w:numId w:val="1006"/>
        </w:numPr>
      </w:pPr>
      <w:r>
        <w:t xml:space="preserve">operational telemetry that identifies a person or a site</w:t>
      </w:r>
    </w:p>
    <w:p>
      <w:pPr>
        <w:pStyle w:val="Compact"/>
        <w:numPr>
          <w:ilvl w:val="0"/>
          <w:numId w:val="1006"/>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7"/>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07"/>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07"/>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8"/>
        </w:numPr>
      </w:pPr>
      <w:r>
        <w:t xml:space="preserve">Is there any path that reaches execution without the vet running? Check every caller, not the</w:t>
      </w:r>
      <w:r>
        <w:t xml:space="preserve"> </w:t>
      </w:r>
      <w:r>
        <w:t xml:space="preserve">documented one.</w:t>
      </w:r>
    </w:p>
    <w:p>
      <w:pPr>
        <w:pStyle w:val="Compact"/>
        <w:numPr>
          <w:ilvl w:val="0"/>
          <w:numId w:val="1008"/>
        </w:numPr>
      </w:pPr>
      <w:r>
        <w:t xml:space="preserve">Does it fail closed, with no silent downgrade when the intended backend is absent?</w:t>
      </w:r>
    </w:p>
    <w:p>
      <w:pPr>
        <w:pStyle w:val="Compact"/>
        <w:numPr>
          <w:ilvl w:val="0"/>
          <w:numId w:val="1008"/>
        </w:numPr>
      </w:pPr>
      <w:r>
        <w:t xml:space="preserve">Is the load target validated against a fixed known set, so input cannot trigger an arbitrary</w:t>
      </w:r>
      <w:r>
        <w:t xml:space="preserve"> </w:t>
      </w:r>
      <w:r>
        <w:t xml:space="preserve">import?</w:t>
      </w:r>
    </w:p>
    <w:p>
      <w:pPr>
        <w:pStyle w:val="Compact"/>
        <w:numPr>
          <w:ilvl w:val="0"/>
          <w:numId w:val="1008"/>
        </w:numPr>
      </w:pPr>
      <w:r>
        <w:t xml:space="preserve">Does the vet cover the whole executable surface or only the obvious top level?</w:t>
      </w:r>
    </w:p>
    <w:p>
      <w:pPr>
        <w:pStyle w:val="Compact"/>
        <w:numPr>
          <w:ilvl w:val="0"/>
          <w:numId w:val="1008"/>
        </w:numPr>
      </w:pPr>
      <w:r>
        <w:t xml:space="preserve">Does it follow links, so a vetted-looking entry can point somewhere writable?</w:t>
      </w:r>
    </w:p>
    <w:p>
      <w:pPr>
        <w:pStyle w:val="Compact"/>
        <w:numPr>
          <w:ilvl w:val="0"/>
          <w:numId w:val="1008"/>
        </w:numPr>
      </w:pPr>
      <w:r>
        <w:t xml:space="preserve">Is the check skipped under a privileged account?</w:t>
      </w:r>
    </w:p>
    <w:p>
      <w:pPr>
        <w:pStyle w:val="Compact"/>
        <w:numPr>
          <w:ilvl w:val="0"/>
          <w:numId w:val="1008"/>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9"/>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9"/>
        </w:numPr>
      </w:pPr>
      <w:r>
        <w:t xml:space="preserve">Parameterised queries only. No string-built statements anywhere, no exceptions held open by a</w:t>
      </w:r>
      <w:r>
        <w:t xml:space="preserve"> </w:t>
      </w:r>
      <w:r>
        <w:t xml:space="preserve">comment.</w:t>
      </w:r>
    </w:p>
    <w:p>
      <w:pPr>
        <w:pStyle w:val="Compact"/>
        <w:numPr>
          <w:ilvl w:val="0"/>
          <w:numId w:val="1009"/>
        </w:numPr>
      </w:pPr>
      <w:r>
        <w:t xml:space="preserve">Authentication and authorization enforced on every action, deny by default.</w:t>
      </w:r>
    </w:p>
    <w:p>
      <w:pPr>
        <w:pStyle w:val="Compact"/>
        <w:numPr>
          <w:ilvl w:val="0"/>
          <w:numId w:val="1009"/>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09"/>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9"/>
        </w:numPr>
      </w:pPr>
      <w:r>
        <w:t xml:space="preserve">Use vetted cryptographic libraries. Never roll your own.</w:t>
      </w:r>
    </w:p>
    <w:p>
      <w:pPr>
        <w:pStyle w:val="Compact"/>
        <w:numPr>
          <w:ilvl w:val="0"/>
          <w:numId w:val="1009"/>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10"/>
        </w:numPr>
      </w:pPr>
      <w:r>
        <w:t xml:space="preserve">Static analysis, red on any new finding from a clean baseline.</w:t>
      </w:r>
    </w:p>
    <w:p>
      <w:pPr>
        <w:pStyle w:val="Compact"/>
        <w:numPr>
          <w:ilvl w:val="0"/>
          <w:numId w:val="1010"/>
        </w:numPr>
      </w:pPr>
      <w:r>
        <w:t xml:space="preserve">Dependency vulnerability analysis, red on any new advisory.</w:t>
      </w:r>
    </w:p>
    <w:p>
      <w:pPr>
        <w:pStyle w:val="Compact"/>
        <w:numPr>
          <w:ilvl w:val="0"/>
          <w:numId w:val="1010"/>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11"/>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11"/>
        </w:numPr>
      </w:pPr>
      <w:r>
        <w:t xml:space="preserve">A dependency that does the parsing or decoding at a boundary crosses a major version.</w:t>
      </w:r>
    </w:p>
    <w:p>
      <w:pPr>
        <w:pStyle w:val="Compact"/>
        <w:numPr>
          <w:ilvl w:val="0"/>
          <w:numId w:val="1011"/>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11"/>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2"/>
        </w:numPr>
      </w:pPr>
      <w:r>
        <w:rPr>
          <w:b/>
          <w:bCs/>
        </w:rPr>
        <w:t xml:space="preserve">Mutual TLS</w:t>
      </w:r>
      <w:r>
        <w:t xml:space="preserve"> </w:t>
      </w:r>
      <w:r>
        <w:t xml:space="preserve">with full chain validation, revocation checking, and rotation before expiry.</w:t>
      </w:r>
    </w:p>
    <w:p>
      <w:pPr>
        <w:pStyle w:val="Compact"/>
        <w:numPr>
          <w:ilvl w:val="0"/>
          <w:numId w:val="1012"/>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2"/>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t xml:space="preserve">The release build runs on an ephemeral runner with no interactive login path, and never on a</w:t>
      </w:r>
      <w:r>
        <w:t xml:space="preserve"> </w:t>
      </w:r>
      <w: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3"/>
        </w:numPr>
      </w:pPr>
      <w:r>
        <w:t xml:space="preserve">file-integrity monitoring against a baseline</w:t>
      </w:r>
    </w:p>
    <w:p>
      <w:pPr>
        <w:pStyle w:val="Compact"/>
        <w:numPr>
          <w:ilvl w:val="0"/>
          <w:numId w:val="1013"/>
        </w:numPr>
      </w:pPr>
      <w:r>
        <w:t xml:space="preserve">immutable or read-only deployment with writable state confined to the data store</w:t>
      </w:r>
    </w:p>
    <w:p>
      <w:pPr>
        <w:pStyle w:val="Compact"/>
        <w:numPr>
          <w:ilvl w:val="0"/>
          <w:numId w:val="1013"/>
        </w:numPr>
      </w:pPr>
      <w:r>
        <w:t xml:space="preserve">least-privilege file ownership so the running account cannot rewrite its own code</w:t>
      </w:r>
    </w:p>
    <w:p>
      <w:pPr>
        <w:pStyle w:val="Compact"/>
        <w:numPr>
          <w:ilvl w:val="0"/>
          <w:numId w:val="1013"/>
        </w:numPr>
      </w:pPr>
      <w:r>
        <w:t xml:space="preserve">confinement under a mandatory access control system</w:t>
      </w:r>
    </w:p>
    <w:p>
      <w:pPr>
        <w:pStyle w:val="Compact"/>
        <w:numPr>
          <w:ilvl w:val="0"/>
          <w:numId w:val="1013"/>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4"/>
        </w:numPr>
      </w:pPr>
      <w:r>
        <w:t xml:space="preserve">A defined private intake channel.</w:t>
      </w:r>
    </w:p>
    <w:p>
      <w:pPr>
        <w:pStyle w:val="Compact"/>
        <w:numPr>
          <w:ilvl w:val="0"/>
          <w:numId w:val="1014"/>
        </w:numPr>
      </w:pPr>
      <w:r>
        <w:t xml:space="preserve">Severity-banded remediation windows.</w:t>
      </w:r>
    </w:p>
    <w:p>
      <w:pPr>
        <w:pStyle w:val="Compact"/>
        <w:numPr>
          <w:ilvl w:val="0"/>
          <w:numId w:val="1014"/>
        </w:numPr>
      </w:pPr>
      <w:r>
        <w:t xml:space="preserve">A root-cause review for significant findings, feeding systemic causes back into the standard.</w:t>
      </w:r>
    </w:p>
    <w:p>
      <w:pPr>
        <w:pStyle w:val="Compact"/>
        <w:numPr>
          <w:ilvl w:val="0"/>
          <w:numId w:val="1014"/>
        </w:numPr>
      </w:pPr>
      <w:r>
        <w:t xml:space="preserve">Coordinated disclosure after a fix exists.</w:t>
      </w:r>
    </w:p>
    <w:p>
      <w:pPr>
        <w:pStyle w:val="Compact"/>
        <w:numPr>
          <w:ilvl w:val="0"/>
          <w:numId w:val="1014"/>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15"/>
        </w:numPr>
      </w:pPr>
      <w:r>
        <w:t xml:space="preserve">a security contact at a documented address</w:t>
      </w:r>
    </w:p>
    <w:p>
      <w:pPr>
        <w:pStyle w:val="Compact"/>
        <w:numPr>
          <w:ilvl w:val="0"/>
          <w:numId w:val="1015"/>
        </w:numPr>
      </w:pPr>
      <w:r>
        <w:t xml:space="preserve">a policy file in the repository where the source host surfaces it</w:t>
      </w:r>
    </w:p>
    <w:p>
      <w:pPr>
        <w:pStyle w:val="Compact"/>
        <w:numPr>
          <w:ilvl w:val="0"/>
          <w:numId w:val="1015"/>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t xml:space="preserve">this is a producer's disclosure path, not an incident response program. Incidents are generated by</w:t>
      </w:r>
      <w:r>
        <w:t xml:space="preserve"> </w:t>
      </w:r>
      <w:r>
        <w:t xml:space="preserve">running the software. The coverage table below records the catalog's incident-response family as not</w:t>
      </w:r>
      <w:r>
        <w:t xml:space="preserve"> </w:t>
      </w:r>
      <w:r>
        <w:t xml:space="preserve">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using this document's own worked case from</w:t>
      </w:r>
      <w:r>
        <w:t xml:space="preserve"> </w:t>
      </w:r>
      <w:hyperlink w:anchor="Xd0d2e3c2022a6968f9346992769e0293d735ca2">
        <w:r>
          <w:rPr>
            <w:rStyle w:val="Hyperlink"/>
          </w:rPr>
          <w:t xml:space="preserve">section 4</w:t>
        </w:r>
      </w:hyperlink>
      <w:r>
        <w:t xml:space="preserve">. Illustrative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on the date this entry was written</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16"/>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6"/>
        </w:numPr>
      </w:pPr>
      <w:r>
        <w:t xml:space="preserve">Re-confirm from the blocking-job list, not from a badge, that every check in the unwaivable set</w:t>
      </w:r>
      <w:r>
        <w:t xml:space="preserve"> </w:t>
      </w:r>
      <w:r>
        <w:t xml:space="preserve">still blocks.</w:t>
      </w:r>
    </w:p>
    <w:p>
      <w:pPr>
        <w:pStyle w:val="Compact"/>
        <w:numPr>
          <w:ilvl w:val="0"/>
          <w:numId w:val="1016"/>
        </w:numPr>
      </w:pPr>
      <w:r>
        <w:t xml:space="preserve">Confirm the scanner suppression list has not grown unreviewed.</w:t>
      </w:r>
    </w:p>
    <w:p>
      <w:pPr>
        <w:pStyle w:val="Compact"/>
        <w:numPr>
          <w:ilvl w:val="0"/>
          <w:numId w:val="1016"/>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t xml:space="preserve">Third-party source review and penetration testing are the only controls an internally-run pipeline</w:t>
      </w:r>
      <w:r>
        <w:t xml:space="preserve"> </w:t>
      </w:r>
      <w: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17"/>
        </w:numPr>
      </w:pPr>
      <w:r>
        <w:t xml:space="preserve">the objective, and what is explicitly out of scope</w:t>
      </w:r>
    </w:p>
    <w:p>
      <w:pPr>
        <w:pStyle w:val="Compact"/>
        <w:numPr>
          <w:ilvl w:val="0"/>
          <w:numId w:val="1017"/>
        </w:numPr>
      </w:pPr>
      <w:r>
        <w:t xml:space="preserve">the environment and the authorized test site</w:t>
      </w:r>
    </w:p>
    <w:p>
      <w:pPr>
        <w:pStyle w:val="Compact"/>
        <w:numPr>
          <w:ilvl w:val="0"/>
          <w:numId w:val="1017"/>
        </w:numPr>
      </w:pPr>
      <w:r>
        <w:t xml:space="preserve">the artifacts you hand over up front -- threat models, architecture, previous assessment results,</w:t>
      </w:r>
      <w:r>
        <w:t xml:space="preserve"> </w:t>
      </w:r>
      <w:r>
        <w:t xml:space="preserve">the deviations register</w:t>
      </w:r>
    </w:p>
    <w:p>
      <w:pPr>
        <w:pStyle w:val="Compact"/>
        <w:numPr>
          <w:ilvl w:val="0"/>
          <w:numId w:val="1017"/>
        </w:numPr>
      </w:pPr>
      <w:r>
        <w:t xml:space="preserve">named points of contact on both sides, including the incident-response contact</w:t>
      </w:r>
    </w:p>
    <w:p>
      <w:pPr>
        <w:pStyle w:val="Compact"/>
        <w:numPr>
          <w:ilvl w:val="0"/>
          <w:numId w:val="1017"/>
        </w:numPr>
      </w:pPr>
      <w:r>
        <w:t xml:space="preserve">permitted testing hours</w:t>
      </w:r>
    </w:p>
    <w:p>
      <w:pPr>
        <w:pStyle w:val="Compact"/>
        <w:numPr>
          <w:ilvl w:val="0"/>
          <w:numId w:val="1017"/>
        </w:numPr>
      </w:pPr>
      <w:r>
        <w:t xml:space="preserve">the risks and their agreed mitigations</w:t>
      </w:r>
    </w:p>
    <w:p>
      <w:pPr>
        <w:pStyle w:val="Compact"/>
        <w:numPr>
          <w:ilvl w:val="0"/>
          <w:numId w:val="1017"/>
        </w:numPr>
      </w:pPr>
      <w:r>
        <w:t xml:space="preserve">what data the tester may encounter, and how it must be handled and destroyed</w:t>
      </w:r>
    </w:p>
    <w:p>
      <w:pPr>
        <w:pStyle w:val="Compact"/>
        <w:numPr>
          <w:ilvl w:val="0"/>
          <w:numId w:val="1017"/>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8"/>
        </w:numPr>
      </w:pPr>
      <w:r>
        <w:t xml:space="preserve">verdict vocabulary</w:t>
      </w:r>
    </w:p>
    <w:p>
      <w:pPr>
        <w:pStyle w:val="Compact"/>
        <w:numPr>
          <w:ilvl w:val="0"/>
          <w:numId w:val="1018"/>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8"/>
        </w:numPr>
      </w:pPr>
      <w:r>
        <w:t xml:space="preserve">evidence anchors a machine can re-check</w:t>
      </w:r>
    </w:p>
    <w:p>
      <w:pPr>
        <w:pStyle w:val="Compact"/>
        <w:numPr>
          <w:ilvl w:val="0"/>
          <w:numId w:val="1018"/>
        </w:numPr>
      </w:pPr>
      <w:r>
        <w:t xml:space="preserve">pinning the standard's corpus</w:t>
      </w:r>
    </w:p>
    <w:p>
      <w:pPr>
        <w:pStyle w:val="Compact"/>
        <w:numPr>
          <w:ilvl w:val="0"/>
          <w:numId w:val="1018"/>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9"/>
        </w:numPr>
      </w:pPr>
      <w:r>
        <w:t xml:space="preserve">Automated blocking checks passing on the exact commit being released.</w:t>
      </w:r>
    </w:p>
    <w:p>
      <w:pPr>
        <w:pStyle w:val="Compact"/>
        <w:numPr>
          <w:ilvl w:val="0"/>
          <w:numId w:val="1019"/>
        </w:numPr>
      </w:pPr>
      <w:r>
        <w:t xml:space="preserve">No unresolved high or critical findings.</w:t>
      </w:r>
    </w:p>
    <w:p>
      <w:pPr>
        <w:pStyle w:val="Compact"/>
        <w:numPr>
          <w:ilvl w:val="0"/>
          <w:numId w:val="1019"/>
        </w:numPr>
      </w:pPr>
      <w:r>
        <w:t xml:space="preserve">Current independent-review status, or a signed risk acceptance standing in for it.</w:t>
      </w:r>
    </w:p>
    <w:p>
      <w:pPr>
        <w:pStyle w:val="Compact"/>
        <w:numPr>
          <w:ilvl w:val="0"/>
          <w:numId w:val="1019"/>
        </w:numPr>
      </w:pPr>
      <w:r>
        <w:t xml:space="preserve">Updated evidence.</w:t>
      </w:r>
    </w:p>
    <w:p>
      <w:pPr>
        <w:pStyle w:val="Compact"/>
        <w:numPr>
          <w:ilvl w:val="0"/>
          <w:numId w:val="1019"/>
        </w:numPr>
      </w:pPr>
      <w:r>
        <w:t xml:space="preserve">A signed artifact with its component inventory and digest manifest attached to the tag.</w:t>
      </w:r>
    </w:p>
    <w:p>
      <w:pPr>
        <w:pStyle w:val="Compact"/>
        <w:numPr>
          <w:ilvl w:val="0"/>
          <w:numId w:val="1019"/>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20"/>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20"/>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20"/>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20"/>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21"/>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21"/>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21"/>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21"/>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21"/>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22"/>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22"/>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22"/>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22"/>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22"/>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22"/>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23"/>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23"/>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23"/>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23"/>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t xml:space="preserve">Naming these sources is not a conformance claim, and cannot become one. 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rPr>
          <w:b/>
          <w:bCs/>
        </w:rPr>
        <w:t xml:space="preserve">That government-wide requirement was rescinded on 2026-01-23 by OMB Memorandum M-26-05</w:t>
      </w:r>
      <w:r>
        <w:t xml:space="preserve">,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24"/>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24"/>
        </w:numPr>
      </w:pPr>
      <w:r>
        <w:t xml:space="preserve">This is not a relaxation. 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25"/>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5"/>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5"/>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5"/>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5"/>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5"/>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5"/>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2026-08-07T01:21:20Z</dcterms:created>
  <dcterms:modified xsi:type="dcterms:W3CDTF">2026-08-07T01:21:20Z</dcterms:modified>
</cp:coreProperties>
</file>

<file path=docProps/custom.xml><?xml version="1.0" encoding="utf-8"?>
<Properties xmlns="http://schemas.openxmlformats.org/officeDocument/2006/custom-properties" xmlns:vt="http://schemas.openxmlformats.org/officeDocument/2006/docPropsVTypes"/>
</file>