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5f00617d65279871bdf095e7499ae789fffb5af"/>
    <w:p>
      <w:pPr>
        <w:pStyle w:val="Heading1"/>
      </w:pPr>
      <w:r>
        <w:t xml:space="preserve">Which security standards actually apply to you?</w:t>
      </w:r>
    </w:p>
    <w:p>
      <w:pPr>
        <w:pStyle w:val="FirstParagraph"/>
      </w:pPr>
      <w:r>
        <w:rPr>
          <w:b/>
          <w:bCs/>
        </w:rPr>
        <w:t xml:space="preserve">The question a security executive has to answer before funding anything, and the one buried under</w:t>
      </w:r>
      <w:r>
        <w:rPr>
          <w:b/>
          <w:bCs/>
        </w:rPr>
        <w:t xml:space="preserve"> </w:t>
      </w:r>
      <w:r>
        <w:rPr>
          <w:b/>
          <w:bCs/>
        </w:rPr>
        <w:t xml:space="preserve">encyclopedias that explain what each standard says rather than whether it reaches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The interactive version of this page is at</w:t>
      </w:r>
      <w:r>
        <w:t xml:space="preserve"> </w:t>
      </w:r>
      <w:hyperlink r:id="rId12">
        <w:r>
          <w:rPr>
            <w:rStyle w:val="Hyperlink"/>
          </w:rPr>
          <w:t xml:space="preserve">https://wshallwshall.github.io/claude-multisession/standards/STANDARDS-LANDSCAPE.html</w:t>
        </w:r>
      </w:hyperlink>
      <w:r>
        <w:t xml:space="preserve">, written</w:t>
      </w:r>
      <w:r>
        <w:t xml:space="preserve"> </w:t>
      </w:r>
      <w:r>
        <w:t xml:space="preserve">out in full because a relative link is dead in a downloaded Word file.</w:t>
      </w:r>
    </w:p>
    <w:p>
      <w:pPr>
        <w:pStyle w:val="FirstParagraph"/>
      </w:pPr>
      <w:r>
        <w:rPr>
          <w:b/>
          <w:bCs/>
        </w:rPr>
        <w:t xml:space="preserve">This one file carries three things, in the order a reader needs them.</w:t>
      </w:r>
      <w:r>
        <w:t xml:space="preserve"> </w:t>
      </w:r>
      <w:r>
        <w:t xml:space="preserve">First the routing below,</w:t>
      </w:r>
      <w:r>
        <w:t xml:space="preserve"> </w:t>
      </w:r>
      <w:r>
        <w:t xml:space="preserve">which answers "what reaches me". Then</w:t>
      </w:r>
      <w:r>
        <w:t xml:space="preserve"> </w:t>
      </w:r>
      <w:hyperlink w:anchor="every-document-on-this-map">
        <w:r>
          <w:rPr>
            <w:rStyle w:val="Hyperlink"/>
          </w:rPr>
          <w:t xml:space="preserve">the reference</w:t>
        </w:r>
      </w:hyperlink>
      <w:r>
        <w:t xml:space="preserve">, one row per</w:t>
      </w:r>
      <w:r>
        <w:t xml:space="preserve"> </w:t>
      </w:r>
      <w:r>
        <w:t xml:space="preserve">document, for when you already know what you are looking for. Then</w:t>
      </w:r>
      <w:r>
        <w:t xml:space="preserve"> </w:t>
      </w:r>
      <w:hyperlink w:anchor="why-this-page-is-organized-the-way-it-is">
        <w:r>
          <w:rPr>
            <w:rStyle w:val="Hyperlink"/>
          </w:rPr>
          <w:t xml:space="preserve">the explanation</w:t>
        </w:r>
      </w:hyperlink>
      <w:r>
        <w:t xml:space="preserve">, last and skippable, which is where the</w:t>
      </w:r>
      <w:r>
        <w:t xml:space="preserve"> </w:t>
      </w:r>
      <w:r>
        <w:t xml:space="preserve">cuts and the vocabulary are argued rather than assumed.</w:t>
      </w:r>
    </w:p>
    <w:p>
      <w:pPr>
        <w:pStyle w:val="BodyText"/>
      </w:pPr>
      <w:r>
        <w:rPr>
          <w:b/>
          <w:bCs/>
        </w:rPr>
        <w:t xml:space="preserve">On the served site there is an interactive selector between this paragraph and the routing table.</w:t>
      </w:r>
      <w:r>
        <w:t xml:space="preserve"> </w:t>
      </w:r>
      <w:r>
        <w:t xml:space="preserve">Tick what is true of your business and it hides the rows that cannot reach you. It hides; it never</w:t>
      </w:r>
      <w:r>
        <w:t xml:space="preserve"> </w:t>
      </w:r>
      <w:r>
        <w:t xml:space="preserve">computes, and it holds no fact this document does not.</w:t>
      </w:r>
    </w:p>
    <w:p>
      <w:pPr>
        <w:pStyle w:val="BodyText"/>
      </w:pPr>
      <w:r>
        <w:rPr>
          <w:b/>
          <w:bCs/>
        </w:rPr>
        <w:t xml:space="preserve">If you are reading the markdown or the Word copy, you have the answer and not a substitute for</w:t>
      </w:r>
      <w:r>
        <w:rPr>
          <w:b/>
          <w:bCs/>
        </w:rPr>
        <w:t xml:space="preserve"> </w:t>
      </w:r>
      <w:r>
        <w:rPr>
          <w:b/>
          <w:bCs/>
        </w:rPr>
        <w:t xml:space="preserve">it.</w:t>
      </w:r>
      <w:r>
        <w:t xml:space="preserve"> </w:t>
      </w:r>
      <w:r>
        <w:t xml:space="preserve">The selector is a filter over the table below, and the table below is that same routing</w:t>
      </w:r>
      <w:r>
        <w:t xml:space="preserve"> </w:t>
      </w:r>
      <w:r>
        <w:t xml:space="preserve">unfiltered -- the form you can print, forward to counsel and mark up. Nothing in this document</w:t>
      </w:r>
      <w:r>
        <w:t xml:space="preserve"> </w:t>
      </w:r>
      <w:r>
        <w:t xml:space="preserve">depends on the control existing.</w:t>
      </w:r>
    </w:p>
    <w:p>
      <w:pPr>
        <w:pStyle w:val="BodyText"/>
      </w:pPr>
      <w:r>
        <w:rPr>
          <w:b/>
          <w:bCs/>
        </w:rPr>
        <w:t xml:space="preserve">Two things neither of them will ever do.</w:t>
      </w:r>
      <w:r>
        <w:t xml:space="preserve"> </w:t>
      </w:r>
      <w:r>
        <w:t xml:space="preserve">They will not tell you that you must comply with</w:t>
      </w:r>
      <w:r>
        <w:t xml:space="preserve"> </w:t>
      </w:r>
      <w:r>
        <w:t xml:space="preserve">anything: whether any of this reaches your organization is decided by a clause number, and no legal</w:t>
      </w:r>
      <w:r>
        <w:t xml:space="preserve"> </w:t>
      </w:r>
      <w:r>
        <w:t xml:space="preserve">advice is given anywhere on this site. And they will not return a complete list. "At least these" is</w:t>
      </w:r>
      <w:r>
        <w:t xml:space="preserve"> </w:t>
      </w:r>
      <w:r>
        <w:t xml:space="preserve">the only claim available, and matching nothing here is not evidence that nothing reaches you --</w:t>
      </w:r>
      <w:r>
        <w:t xml:space="preserve"> </w:t>
      </w:r>
      <w:hyperlink w:anchor="what-this-page-did-not-assess">
        <w:r>
          <w:rPr>
            <w:rStyle w:val="Hyperlink"/>
          </w:rPr>
          <w:t xml:space="preserve">what this page did not assess</w:t>
        </w:r>
      </w:hyperlink>
      <w:r>
        <w:t xml:space="preserve"> </w:t>
      </w:r>
      <w:r>
        <w:t xml:space="preserve">names the gaps on purpose.</w:t>
      </w:r>
    </w:p>
    <w:bookmarkStart w:id="13" w:name="if-this-is-your-situation"/>
    <w:p>
      <w:pPr>
        <w:pStyle w:val="Heading2"/>
      </w:pPr>
      <w:r>
        <w:t xml:space="preserve">If this is your situation</w:t>
      </w:r>
    </w:p>
    <w:p>
      <w:pPr>
        <w:pStyle w:val="FirstParagraph"/>
      </w:pPr>
      <w:r>
        <w:t xml:space="preserve">At least twelve situations. Column three points into this page, not out of the site. Matching no row</w:t>
      </w:r>
      <w:r>
        <w:t xml:space="preserve"> </w:t>
      </w:r>
      <w:r>
        <w:t xml:space="preserve">here is not evidence that nothing reaches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reaches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reaches you is whatever an individual agency writes into a contract</w:t>
            </w:r>
          </w:p>
        </w:tc>
        <w:tc>
          <w:tcPr/>
          <w:p>
            <w:pPr>
              <w:pStyle w:val="Compact"/>
            </w:pPr>
            <w:hyperlink w:anchor="every-document-on-this-map">
              <w:r>
                <w:rPr>
                  <w:rStyle w:val="Hyperlink"/>
                </w:rPr>
                <w:t xml:space="preserve">The reference</w:t>
              </w:r>
            </w:hyperlink>
            <w:r>
              <w:t xml:space="preserve">, and</w:t>
            </w:r>
            <w:r>
              <w:t xml:space="preserve"> </w:t>
            </w:r>
            <w:hyperlink w:anchor="why-every-status-carries-a-date">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this page. It is evidence about the ORGANIZATION and not about the software, and what it is worth turns on scope, accreditation, and which criteria were elected</w:t>
            </w:r>
          </w:p>
        </w:tc>
        <w:tc>
          <w:tcPr/>
          <w:p>
            <w:pPr>
              <w:pStyle w:val="Compact"/>
            </w:pPr>
            <w:hyperlink w:anchor="Xec54665e908c89ecc68195cf1b924f4fd00fad3">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here issue no certificate, so name what does exist: a scoped certificate for something else, a report, a self-attestation, provenance, or named control correspondences</w:t>
            </w:r>
          </w:p>
        </w:tc>
        <w:tc>
          <w:tcPr/>
          <w:p>
            <w:pPr>
              <w:pStyle w:val="Compact"/>
            </w:pPr>
            <w:hyperlink w:anchor="what-each-one-issues">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reaches a supplier as contract text rather than as regulation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Your developers build with AI coding assistants</w:t>
            </w:r>
          </w:p>
        </w:tc>
        <w:tc>
          <w:tcPr/>
          <w:p>
            <w:pPr>
              <w:pStyle w:val="Compact"/>
            </w:pPr>
            <w:r>
              <w:t xml:space="preserve">Nothing mapped here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13"/>
    <w:bookmarkStart w:id="15" w:name="Xf419bb31d4316203dd4fd5a9c399af24e8e654b"/>
    <w:p>
      <w:pPr>
        <w:pStyle w:val="Heading2"/>
      </w:pPr>
      <w:r>
        <w:t xml:space="preserve">Where an AI coding assistant sits in all this</w:t>
      </w:r>
    </w:p>
    <w:p>
      <w:pPr>
        <w:pStyle w:val="FirstParagraph"/>
      </w:pPr>
      <w:r>
        <w:rPr>
          <w:b/>
          <w:bCs/>
        </w:rPr>
        <w:t xml:space="preserve">Nothing mapped on this page currently governs a developer using an AI coding assistant.</w:t>
      </w:r>
      <w:r>
        <w:t xml:space="preserve"> </w:t>
      </w:r>
      <w:r>
        <w:t xml:space="preserve">That is a</w:t>
      </w:r>
      <w:r>
        <w:t xml:space="preserve"> </w:t>
      </w:r>
      <w:r>
        <w:t xml:space="preserve">finding about the landscape, stated as an absence rather than as a gap somebody has filled. It is the</w:t>
      </w:r>
      <w:r>
        <w:t xml:space="preserve"> </w:t>
      </w:r>
      <w:r>
        <w:t xml:space="preserve">one situation above whose answer will not fit in a table cell, because the answer is a correction to</w:t>
      </w:r>
      <w:r>
        <w:t xml:space="preserve"> </w:t>
      </w:r>
      <w:r>
        <w:t xml:space="preserve">three specific documents rather than a list.</w:t>
      </w:r>
    </w:p>
    <w:p>
      <w:pPr>
        <w:pStyle w:val="Compact"/>
        <w:numPr>
          <w:ilvl w:val="0"/>
          <w:numId w:val="1001"/>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1"/>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assistant writes for you, and the two</w:t>
      </w:r>
      <w:r>
        <w:t xml:space="preserve"> </w:t>
      </w:r>
      <w:r>
        <w:t xml:space="preserve">are conflated constantly.</w:t>
      </w:r>
    </w:p>
    <w:p>
      <w:pPr>
        <w:pStyle w:val="Compact"/>
        <w:numPr>
          <w:ilvl w:val="0"/>
          <w:numId w:val="1001"/>
        </w:numPr>
      </w:pPr>
      <w:r>
        <w:rPr>
          <w:b/>
          <w:bCs/>
        </w:rPr>
        <w:t xml:space="preserve">The NIST control overlays for securing AI systems</w:t>
      </w:r>
      <w:r>
        <w:t xml:space="preserve"> </w:t>
      </w:r>
      <w:r>
        <w:t xml:space="preserve">are in development, with no draft overlay</w:t>
      </w:r>
      <w:r>
        <w:t xml:space="preserve"> </w:t>
      </w:r>
      <w:r>
        <w:t xml:space="preserve">published as of 2026-08-06, so nothing can be aligned with them today.</w:t>
      </w:r>
    </w:p>
    <w:p>
      <w:pPr>
        <w:pStyle w:val="FirstParagraph"/>
      </w:pPr>
      <w:r>
        <w:t xml:space="preserve">All three carry their full rows in</w:t>
      </w:r>
      <w:r>
        <w:t xml:space="preserve"> </w:t>
      </w:r>
      <w:hyperlink w:anchor="every-document-on-this-map">
        <w:r>
          <w:rPr>
            <w:rStyle w:val="Hyperlink"/>
          </w:rPr>
          <w:t xml:space="preserve">the reference</w:t>
        </w:r>
      </w:hyperlink>
      <w:r>
        <w:t xml:space="preserve">. No claim is made</w:t>
      </w:r>
      <w:r>
        <w:t xml:space="preserve"> </w:t>
      </w:r>
      <w:r>
        <w:t xml:space="preserve">here that anything published on this site fills that gap: the control set this site does publish for</w:t>
      </w:r>
      <w:r>
        <w:t xml:space="preserve"> </w:t>
      </w:r>
      <w:r>
        <w:t xml:space="preserve">AI-assisted work is</w:t>
      </w:r>
      <w:r>
        <w:t xml:space="preserve"> </w:t>
      </w:r>
      <w:hyperlink r:id="rId14">
        <w:r>
          <w:rPr>
            <w:rStyle w:val="Hyperlink"/>
          </w:rPr>
          <w:t xml:space="preserve">AI-assisted development</w:t>
        </w:r>
      </w:hyperlink>
      <w:r>
        <w:t xml:space="preserve">, and it claims</w:t>
      </w:r>
      <w:r>
        <w:t xml:space="preserve"> </w:t>
      </w:r>
      <w:r>
        <w:t xml:space="preserve">correspondence with nothing.</w:t>
      </w:r>
    </w:p>
    <w:p>
      <w:r>
        <w:pict>
          <v:rect style="width:0;height:1.5pt" o:hralign="center" o:hrstd="t" o:hr="t"/>
        </w:pict>
      </w:r>
    </w:p>
    <w:bookmarkEnd w:id="15"/>
    <w:bookmarkStart w:id="17" w:name="every-document-on-this-map"/>
    <w:p>
      <w:pPr>
        <w:pStyle w:val="Heading2"/>
      </w:pPr>
      <w:r>
        <w:t xml:space="preserve">Every document on this map</w:t>
      </w:r>
    </w:p>
    <w:p>
      <w:pPr>
        <w:pStyle w:val="FirstParagraph"/>
      </w:pPr>
      <w:r>
        <w:rPr>
          <w:b/>
          <w:bCs/>
        </w:rPr>
        <w:t xml:space="preserve">One row per document, sorted alphabetically for lookup.</w:t>
      </w:r>
      <w:r>
        <w:t xml:space="preserve"> </w:t>
      </w:r>
      <w:r>
        <w:t xml:space="preserve">Consult this when you already know what</w:t>
      </w:r>
      <w:r>
        <w:t xml:space="preserve"> </w:t>
      </w:r>
      <w:r>
        <w:t xml:space="preserve">you are looking for. Read the "what it issues" column first when somebody asks you for an artifact:</w:t>
      </w:r>
      <w:r>
        <w:t xml:space="preserve"> </w:t>
      </w:r>
      <w:r>
        <w:t xml:space="preserve">most of these issue nothing at all, and being asked for a certificate that does not exist is the</w:t>
      </w:r>
      <w:r>
        <w:t xml:space="preserve"> </w:t>
      </w:r>
      <w:r>
        <w:t xml:space="preserve">routine case rather than the unusual one.</w:t>
      </w:r>
      <w:r>
        <w:t xml:space="preserve"> </w:t>
      </w:r>
      <w:r>
        <w:rPr>
          <w:b/>
          <w:bCs/>
        </w:rPr>
        <w:t xml:space="preserve">At least these</w:t>
      </w:r>
      <w:r>
        <w:t xml:space="preserve"> </w:t>
      </w:r>
      <w:r>
        <w:t xml:space="preserve">-- the list is not complete, and</w:t>
      </w:r>
      <w:r>
        <w:t xml:space="preserve"> </w:t>
      </w:r>
      <w:hyperlink w:anchor="what-this-page-did-not-assess">
        <w:r>
          <w:rPr>
            <w:rStyle w:val="Hyperlink"/>
          </w:rPr>
          <w:t xml:space="preserve">what this page did not assess</w:t>
        </w:r>
      </w:hyperlink>
      <w:r>
        <w:t xml:space="preserve"> </w:t>
      </w:r>
      <w:r>
        <w:t xml:space="preserve">names what is missing on purpose.</w:t>
      </w:r>
    </w:p>
    <w:p>
      <w:pPr>
        <w:pStyle w:val="BodyText"/>
      </w:pPr>
      <w:r>
        <w:t xml:space="preserve">Every status was checked on</w:t>
      </w:r>
      <w:r>
        <w:t xml:space="preserve"> </w:t>
      </w:r>
      <w:r>
        <w:rPr>
          <w:b/>
          <w:bCs/>
        </w:rPr>
        <w:t xml:space="preserve">2026-08-06</w:t>
      </w:r>
      <w:r>
        <w:t xml:space="preserve">, stated once in the column heading rather than repeated in</w:t>
      </w:r>
      <w:r>
        <w:t xml:space="preserve"> </w:t>
      </w:r>
      <w:r>
        <w:t xml:space="preserve">every cell. Where a cell says "the check date", it means that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it is</w:t>
            </w:r>
          </w:p>
        </w:tc>
        <w:tc>
          <w:tcPr/>
          <w:p>
            <w:pPr>
              <w:pStyle w:val="Compact"/>
            </w:pPr>
            <w:r>
              <w:t xml:space="preserve">Addressed to</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CISA 2026 Minimum Elements for an SBOM</w:t>
            </w:r>
          </w:p>
        </w:tc>
        <w:tc>
          <w:tcPr/>
          <w:p>
            <w:pPr>
              <w:pStyle w:val="Compact"/>
            </w:pPr>
            <w:r>
              <w:t xml:space="preserve">A software producer</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CISA Known Exploited Vulnerabilities catalog, and BOD 26-04</w:t>
            </w:r>
          </w:p>
        </w:tc>
        <w:tc>
          <w:tcPr/>
          <w:p>
            <w:pPr>
              <w:pStyle w:val="Compact"/>
            </w:pPr>
            <w:r>
              <w:t xml:space="preserve">An organization that operates systems</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CISA Secure Software Development Attestation Form</w:t>
            </w:r>
          </w:p>
        </w:tc>
        <w:tc>
          <w:tcPr/>
          <w:p>
            <w:pPr>
              <w:pStyle w:val="Compact"/>
            </w:pPr>
            <w:r>
              <w:t xml:space="preserve">A software producer</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CJIS Security Policy</w:t>
            </w:r>
          </w:p>
        </w:tc>
        <w:tc>
          <w:tcPr/>
          <w:p>
            <w:pPr>
              <w:pStyle w:val="Compact"/>
            </w:pPr>
            <w:r>
              <w:t xml:space="preserve">An organization that operates systems</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CVE Program</w:t>
            </w:r>
          </w:p>
        </w:tc>
        <w:tc>
          <w:tcPr/>
          <w:p>
            <w:pPr>
              <w:pStyle w:val="Compact"/>
            </w:pPr>
            <w:r>
              <w:t xml:space="preserve">Nobody: infrastructure and vocabulary</w:t>
            </w:r>
          </w:p>
        </w:tc>
        <w:tc>
          <w:tcPr/>
          <w:p>
            <w:pPr>
              <w:pStyle w:val="Compact"/>
            </w:pPr>
            <w:r>
              <w:t xml:space="preserve">Identifiers and records. Not severity, not exploitability, not priority.</w:t>
            </w:r>
          </w:p>
        </w:tc>
        <w:tc>
          <w:tcPr/>
          <w:p>
            <w:pPr>
              <w:pStyle w:val="Compact"/>
            </w:pPr>
            <w:r>
              <w:t xml:space="preserve">Every dependency policy and every scanner.</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CWE 4.20</w:t>
            </w:r>
          </w:p>
        </w:tc>
        <w:tc>
          <w:tcPr/>
          <w:p>
            <w:pPr>
              <w:pStyle w:val="Compact"/>
            </w:pPr>
            <w:r>
              <w:t xml:space="preserve">Nobody: infrastructure and vocabulary</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CWE Top 25, 2025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r>
        <w:tc>
          <w:tcPr/>
          <w:p>
            <w:pPr>
              <w:pStyle w:val="Compact"/>
            </w:pPr>
            <w:r>
              <w:rPr>
                <w:b/>
                <w:bCs/>
              </w:rPr>
              <w:t xml:space="preserve">EPSS</w:t>
            </w:r>
          </w:p>
        </w:tc>
        <w:tc>
          <w:tcPr/>
          <w:p>
            <w:pPr>
              <w:pStyle w:val="Compact"/>
            </w:pPr>
            <w:r>
              <w:t xml:space="preserve">An organization that operates systems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EU Cyber Resilience Act, Regulation (EU) 2024/2847</w:t>
            </w:r>
          </w:p>
        </w:tc>
        <w:tc>
          <w:tcPr/>
          <w:p>
            <w:pPr>
              <w:pStyle w:val="Compact"/>
            </w:pPr>
            <w:r>
              <w:t xml:space="preserve">A software producer</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FedRAMP</w:t>
            </w:r>
          </w:p>
        </w:tc>
        <w:tc>
          <w:tcPr/>
          <w:p>
            <w:pPr>
              <w:pStyle w:val="Compact"/>
            </w:pPr>
            <w:r>
              <w:t xml:space="preserve">An organization that operates systems</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FERPA (20 U.S.C. 1232g; 34 CFR Part 99)</w:t>
            </w:r>
          </w:p>
        </w:tc>
        <w:tc>
          <w:tcPr/>
          <w:p>
            <w:pPr>
              <w:pStyle w:val="Compact"/>
            </w:pPr>
            <w:r>
              <w:t xml:space="preserve">An organization that operates systems</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FTC Safeguards Rule under GLBA (16 CFR Part 314)</w:t>
            </w:r>
          </w:p>
        </w:tc>
        <w:tc>
          <w:tcPr/>
          <w:p>
            <w:pPr>
              <w:pStyle w:val="Compact"/>
            </w:pPr>
            <w:r>
              <w:t xml:space="preserve">An organization that operates systems</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reaches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reach them. The definition is statutory, not a matter of self-description.</w:t>
            </w:r>
          </w:p>
        </w:tc>
      </w:tr>
      <w:tr>
        <w:tc>
          <w:tcPr/>
          <w:p>
            <w:pPr>
              <w:pStyle w:val="Compact"/>
            </w:pPr>
            <w:r>
              <w:rPr>
                <w:b/>
                <w:bCs/>
              </w:rPr>
              <w:t xml:space="preserve">GovRAMP (formerly StateRAMP)</w:t>
            </w:r>
          </w:p>
        </w:tc>
        <w:tc>
          <w:tcPr/>
          <w:p>
            <w:pPr>
              <w:pStyle w:val="Compact"/>
            </w:pPr>
            <w:r>
              <w:t xml:space="preserve">An organization that operates systems</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HIPAA Security Rule (45 CFR Part 164 Subpart C)</w:t>
            </w:r>
          </w:p>
        </w:tc>
        <w:tc>
          <w:tcPr/>
          <w:p>
            <w:pPr>
              <w:pStyle w:val="Compact"/>
            </w:pPr>
            <w:r>
              <w:t xml:space="preserve">An organization that operates systems</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HITRUST CSF (e1, i1, r2)</w:t>
            </w:r>
          </w:p>
        </w:tc>
        <w:tc>
          <w:tcPr/>
          <w:p>
            <w:pPr>
              <w:pStyle w:val="Compact"/>
            </w:pPr>
            <w:r>
              <w:t xml:space="preserve">An organization that operates systems</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in-toto attestations and Sigstore signing</w:t>
            </w:r>
          </w:p>
        </w:tc>
        <w:tc>
          <w:tcPr/>
          <w:p>
            <w:pPr>
              <w:pStyle w:val="Compact"/>
            </w:pPr>
            <w:r>
              <w:t xml:space="preserve">A software producer</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r>
        <w:tc>
          <w:tcPr/>
          <w:p>
            <w:pPr>
              <w:pStyle w:val="Compact"/>
            </w:pPr>
            <w:r>
              <w:rPr>
                <w:b/>
                <w:bCs/>
              </w:rPr>
              <w:t xml:space="preserve">ISO/IEC 5055:2021 and OMG ASCQM 1.1</w:t>
            </w:r>
          </w:p>
        </w:tc>
        <w:tc>
          <w:tcPr/>
          <w:p>
            <w:pPr>
              <w:pStyle w:val="Compact"/>
            </w:pPr>
            <w:r>
              <w:t xml:space="preserve">A software producer</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ISO/IEC 25010:2023</w:t>
            </w:r>
          </w:p>
        </w:tc>
        <w:tc>
          <w:tcPr/>
          <w:p>
            <w:pPr>
              <w:pStyle w:val="Compact"/>
            </w:pPr>
            <w:r>
              <w:t xml:space="preserve">Nobody: infrastructure and vocabulary</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r>
        <w:tc>
          <w:tcPr/>
          <w:p>
            <w:pPr>
              <w:pStyle w:val="Compact"/>
            </w:pPr>
            <w:r>
              <w:rPr>
                <w:b/>
                <w:bCs/>
              </w:rPr>
              <w:t xml:space="preserve">ISO/IEC 27001:2022 (plus Amendment 1:2024)</w:t>
            </w:r>
          </w:p>
        </w:tc>
        <w:tc>
          <w:tcPr/>
          <w:p>
            <w:pPr>
              <w:pStyle w:val="Compact"/>
            </w:pPr>
            <w:r>
              <w:t xml:space="preserve">An organization that operates systems</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An organization that operates systems</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ISO/IEC 27006-1:2024</w:t>
            </w:r>
          </w:p>
        </w:tc>
        <w:tc>
          <w:tcPr/>
          <w:p>
            <w:pPr>
              <w:pStyle w:val="Compact"/>
            </w:pPr>
            <w:r>
              <w:t xml:space="preserve">An assessor</w:t>
            </w:r>
          </w:p>
        </w:tc>
        <w:tc>
          <w:tcPr/>
          <w:p>
            <w:pPr>
              <w:pStyle w:val="Compact"/>
            </w:pPr>
            <w:r>
              <w:t xml:space="preserve">Nothing to the audited organization. It governs the auditor.</w:t>
            </w:r>
          </w:p>
        </w:tc>
        <w:tc>
          <w:tcPr/>
          <w:p>
            <w:pPr>
              <w:pStyle w:val="Compact"/>
            </w:pPr>
            <w:r>
              <w:t xml:space="preserve">It reaches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NIS2 Directive ((EU) 2022/2555)</w:t>
            </w:r>
          </w:p>
        </w:tc>
        <w:tc>
          <w:tcPr/>
          <w:p>
            <w:pPr>
              <w:pStyle w:val="Compact"/>
            </w:pPr>
            <w:r>
              <w:t xml:space="preserve">An organization that operates systems</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NIST control overlays for securing AI systems</w:t>
            </w:r>
          </w:p>
        </w:tc>
        <w:tc>
          <w:tcPr/>
          <w:p>
            <w:pPr>
              <w:pStyle w:val="Compact"/>
            </w:pPr>
            <w:r>
              <w:t xml:space="preserve">An organization that operates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r>
        <w:tc>
          <w:tcPr/>
          <w:p>
            <w:pPr>
              <w:pStyle w:val="Compact"/>
            </w:pPr>
            <w:r>
              <w:rPr>
                <w:b/>
                <w:bCs/>
              </w:rPr>
              <w:t xml:space="preserve">NIST SP 800-53 Rev. 5 (Release 5.2.0), with SP 800-53B and FIPS 199</w:t>
            </w:r>
          </w:p>
        </w:tc>
        <w:tc>
          <w:tcPr/>
          <w:p>
            <w:pPr>
              <w:pStyle w:val="Compact"/>
            </w:pPr>
            <w:r>
              <w:t xml:space="preserve">An organization that operates systems</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800-53A Rev. 5 (Release 5.2.0)</w:t>
            </w:r>
          </w:p>
        </w:tc>
        <w:tc>
          <w:tcPr/>
          <w:p>
            <w:pPr>
              <w:pStyle w:val="Compact"/>
            </w:pPr>
            <w:r>
              <w:t xml:space="preserve">An assessor</w:t>
            </w:r>
          </w:p>
        </w:tc>
        <w:tc>
          <w:tcPr/>
          <w:p>
            <w:pPr>
              <w:pStyle w:val="Compact"/>
            </w:pPr>
            <w:r>
              <w:t xml:space="preserve">Nothing to the audited organization.</w:t>
            </w:r>
          </w:p>
        </w:tc>
        <w:tc>
          <w:tcPr/>
          <w:p>
            <w:pPr>
              <w:pStyle w:val="Compact"/>
            </w:pPr>
            <w:r>
              <w:t xml:space="preserve">It reaches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800-122</w:t>
            </w:r>
          </w:p>
        </w:tc>
        <w:tc>
          <w:tcPr/>
          <w:p>
            <w:pPr>
              <w:pStyle w:val="Compact"/>
            </w:pPr>
            <w:r>
              <w:t xml:space="preserve">An organization that operates systems</w:t>
            </w:r>
          </w:p>
        </w:tc>
        <w:tc>
          <w:tcPr/>
          <w:p>
            <w:pPr>
              <w:pStyle w:val="Compact"/>
            </w:pPr>
            <w:r>
              <w:t xml:space="preserve">Nothing. Guidance.</w:t>
            </w:r>
          </w:p>
        </w:tc>
        <w:tc>
          <w:tcPr/>
          <w:p>
            <w:pPr>
              <w:pStyle w:val="Compact"/>
            </w:pPr>
            <w:r>
              <w:t xml:space="preserve">No independent trigger. It sits beside the federal control chain, covering personal data.</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SP 800-161 Rev. 1 (upd 1)</w:t>
            </w:r>
          </w:p>
        </w:tc>
        <w:tc>
          <w:tcPr/>
          <w:p>
            <w:pPr>
              <w:pStyle w:val="Compact"/>
            </w:pPr>
            <w:r>
              <w:t xml:space="preserve">An organization that operates systems</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NIST SP 800-171A Rev. 3 and SP 800-172A Rev. 3</w:t>
            </w:r>
          </w:p>
        </w:tc>
        <w:tc>
          <w:tcPr/>
          <w:p>
            <w:pPr>
              <w:pStyle w:val="Compact"/>
            </w:pPr>
            <w:r>
              <w:t xml:space="preserve">An assessor</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r>
        <w:tc>
          <w:tcPr/>
          <w:p>
            <w:pPr>
              <w:pStyle w:val="Compact"/>
            </w:pPr>
            <w:r>
              <w:rPr>
                <w:b/>
                <w:bCs/>
              </w:rPr>
              <w:t xml:space="preserve">NIST SP 800-218 v1.1 (SSDF)</w:t>
            </w:r>
          </w:p>
        </w:tc>
        <w:tc>
          <w:tcPr/>
          <w:p>
            <w:pPr>
              <w:pStyle w:val="Compact"/>
            </w:pPr>
            <w:r>
              <w:t xml:space="preserve">A software producer</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A software producer</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OWASP ASVS 5.0.0</w:t>
            </w:r>
          </w:p>
        </w:tc>
        <w:tc>
          <w:tcPr/>
          <w:p>
            <w:pPr>
              <w:pStyle w:val="Compact"/>
            </w:pPr>
            <w:r>
              <w:t xml:space="preserve">A software producer</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OWASP SAMM v2.0</w:t>
            </w:r>
          </w:p>
        </w:tc>
        <w:tc>
          <w:tcPr/>
          <w:p>
            <w:pPr>
              <w:pStyle w:val="Compact"/>
            </w:pPr>
            <w:r>
              <w:t xml:space="preserve">An organization that operates systems</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OWASP Top 10 for LLM Applications, 2026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OWASP Top 10:2025</w:t>
            </w:r>
          </w:p>
        </w:tc>
        <w:tc>
          <w:tcPr/>
          <w:p>
            <w:pPr>
              <w:pStyle w:val="Compact"/>
            </w:pPr>
            <w:r>
              <w:t xml:space="preserve">A software producer -- a ranking, not a requirement set</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PCI DSS v4.0.1</w:t>
            </w:r>
          </w:p>
        </w:tc>
        <w:tc>
          <w:tcPr/>
          <w:p>
            <w:pPr>
              <w:pStyle w:val="Compact"/>
            </w:pPr>
            <w:r>
              <w:t xml:space="preserve">An organization that operates systems</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r>
        <w:tc>
          <w:tcPr/>
          <w:p>
            <w:pPr>
              <w:pStyle w:val="Compact"/>
            </w:pPr>
            <w:r>
              <w:rPr>
                <w:b/>
                <w:bCs/>
              </w:rPr>
              <w:t xml:space="preserve">SBOM formats: SPDX (ISO/IEC 5962:2021) and CycloneDX (ECMA-424, 2nd edition)</w:t>
            </w:r>
          </w:p>
        </w:tc>
        <w:tc>
          <w:tcPr/>
          <w:p>
            <w:pPr>
              <w:pStyle w:val="Compact"/>
            </w:pPr>
            <w:r>
              <w:t xml:space="preserve">Nobody: infrastructure and vocabulary</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SEC cybersecurity disclosure rules (17 CFR Parts 229, 232, 239, 240, 249)</w:t>
            </w:r>
          </w:p>
        </w:tc>
        <w:tc>
          <w:tcPr/>
          <w:p>
            <w:pPr>
              <w:pStyle w:val="Compact"/>
            </w:pPr>
            <w:r>
              <w:t xml:space="preserve">An organization that operates systems</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r>
        <w:tc>
          <w:tcPr/>
          <w:p>
            <w:pPr>
              <w:pStyle w:val="Compact"/>
            </w:pPr>
            <w:r>
              <w:rPr>
                <w:b/>
                <w:bCs/>
              </w:rPr>
              <w:t xml:space="preserve">SLSA v1.2</w:t>
            </w:r>
          </w:p>
        </w:tc>
        <w:tc>
          <w:tcPr/>
          <w:p>
            <w:pPr>
              <w:pStyle w:val="Compact"/>
            </w:pPr>
            <w:r>
              <w:t xml:space="preserve">A software producer</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SOC 2 (Type 1 and Type 2)</w:t>
            </w:r>
          </w:p>
        </w:tc>
        <w:tc>
          <w:tcPr/>
          <w:p>
            <w:pPr>
              <w:pStyle w:val="Compact"/>
            </w:pPr>
            <w:r>
              <w:t xml:space="preserve">An organization that operates systems</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The US defense CUI chain: SP 800-171 as pinned by contract, the CMMC program, the DFARS clauses</w:t>
            </w:r>
          </w:p>
        </w:tc>
        <w:tc>
          <w:tcPr/>
          <w:p>
            <w:pPr>
              <w:pStyle w:val="Compact"/>
            </w:pPr>
            <w:r>
              <w:t xml:space="preserve">An organization that operates systems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reaches you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bl>
    <w:p>
      <w:pPr>
        <w:pStyle w:val="BodyText"/>
      </w:pPr>
      <w:hyperlink r:id="rId16">
        <w:r>
          <w:rPr>
            <w:rStyle w:val="Hyperlink"/>
          </w:rPr>
          <w:t xml:space="preserve">The reference table</w:t>
        </w:r>
      </w:hyperlink>
      <w:r>
        <w:t xml:space="preserve"> </w:t>
      </w:r>
      <w:r>
        <w:t xml:space="preserve">is these same rows in a file of their own, grouped by</w:t>
      </w:r>
      <w:r>
        <w:t xml:space="preserve"> </w:t>
      </w:r>
      <w:r>
        <w:t xml:space="preserve">addressee rather than sorted alphabetically, for anyone who wants the lookup without the guide around</w:t>
      </w:r>
      <w:r>
        <w:t xml:space="preserve"> </w:t>
      </w:r>
      <w:r>
        <w:t xml:space="preserve">it. It carries the same statuses and the same check date.</w:t>
      </w:r>
    </w:p>
    <w:p>
      <w:r>
        <w:pict>
          <v:rect style="width:0;height:1.5pt" o:hralign="center" o:hrstd="t" o:hr="t"/>
        </w:pict>
      </w:r>
    </w:p>
    <w:bookmarkEnd w:id="17"/>
    <w:bookmarkStart w:id="24" w:name="why-this-page-is-organized-the-way-it-is"/>
    <w:p>
      <w:pPr>
        <w:pStyle w:val="Heading2"/>
      </w:pPr>
      <w:r>
        <w:t xml:space="preserve">Why this page is organized the way it is</w:t>
      </w:r>
    </w:p>
    <w:p>
      <w:pPr>
        <w:pStyle w:val="FirstParagraph"/>
      </w:pPr>
      <w:r>
        <w:rPr>
          <w:b/>
          <w:bCs/>
        </w:rPr>
        <w:t xml:space="preserve">Skip this section without losing anything above it.</w:t>
      </w:r>
      <w:r>
        <w:t xml:space="preserve"> </w:t>
      </w:r>
      <w:r>
        <w:t xml:space="preserve">It explains the two cuts the reference uses,</w:t>
      </w:r>
      <w:r>
        <w:t xml:space="preserve"> </w:t>
      </w:r>
      <w:r>
        <w:t xml:space="preserve">the routes by which any of this arrives, and the reason every status carries a date. If the routing</w:t>
      </w:r>
      <w:r>
        <w:t xml:space="preserve"> </w:t>
      </w:r>
      <w:r>
        <w:t xml:space="preserve">answered your question, you are done.</w:t>
      </w:r>
    </w:p>
    <w:bookmarkStart w:id="18" w:name="who-a-document-is-addressed-to"/>
    <w:p>
      <w:pPr>
        <w:pStyle w:val="Heading3"/>
      </w:pPr>
      <w:r>
        <w:t xml:space="preserve">Who a document is addressed to</w:t>
      </w:r>
    </w:p>
    <w:p>
      <w:pPr>
        <w:pStyle w:val="FirstParagraph"/>
      </w:pPr>
      <w:r>
        <w:t xml:space="preserve">The addressee is the most stable fact about a document. Status, trigger and enforcement machinery</w:t>
      </w:r>
      <w:r>
        <w:t xml:space="preserve"> </w:t>
      </w:r>
      <w:r>
        <w:t xml:space="preserve">change constantly; the audience almost never does. That is why the reference sorts on it, and why the</w:t>
      </w:r>
      <w:r>
        <w:t xml:space="preserve"> </w:t>
      </w:r>
      <w:r>
        <w:t xml:space="preserve">column sits second rather than last.</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that operates systems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"Addressed to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puts every</w:t>
      </w:r>
      <w:r>
        <w:t xml:space="preserve"> </w:t>
      </w:r>
      <w:r>
        <w:t xml:space="preserve">such item in its own block, under that label, for exactly this reason.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Addressed to</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that operates systems</w:t>
            </w:r>
          </w:p>
        </w:tc>
        <w:tc>
          <w:tcPr/>
          <w:p>
            <w:pPr>
              <w:pStyle w:val="Compact"/>
            </w:pPr>
            <w:r>
              <w:t xml:space="preserve">How an entity runs, governs and secures systems it operates, with personnel, facilities and an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Nobody: infrastructure and vocabulary</w:t>
            </w:r>
          </w:p>
        </w:tc>
        <w:tc>
          <w:tcPr/>
          <w:p>
            <w:pPr>
              <w:pStyle w:val="Compact"/>
            </w:pPr>
            <w:r>
              <w:t xml:space="preserve">Identifier spaces, formats and vocabularies that nobody conforms to</w:t>
            </w:r>
          </w:p>
        </w:tc>
        <w:tc>
          <w:tcPr/>
          <w:p>
            <w:pPr>
              <w:pStyle w:val="Compact"/>
            </w:pPr>
            <w:r>
              <w:t xml:space="preserve">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in the reference. An item addressing two</w:t>
      </w:r>
      <w:r>
        <w:t xml:space="preserve"> </w:t>
      </w:r>
      <w:r>
        <w:t xml:space="preserve">audiences is placed where the cost of acting lands.</w:t>
      </w:r>
    </w:p>
    <w:bookmarkEnd w:id="18"/>
    <w:bookmarkStart w:id="19" w:name="Xec54665e908c89ecc68195cf1b924f4fd00fad3"/>
    <w:p>
      <w:pPr>
        <w:pStyle w:val="Heading3"/>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in</w:t>
      </w:r>
      <w:r>
        <w:t xml:space="preserve"> </w:t>
      </w:r>
      <w:hyperlink w:anchor="every-document-on-this-map">
        <w:r>
          <w:rPr>
            <w:rStyle w:val="Hyperlink"/>
          </w:rPr>
          <w:t xml:space="preserve">the reference above</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bookmarkEnd w:id="19"/>
    <w:bookmarkStart w:id="20" w:name="what-each-one-issues"/>
    <w:p>
      <w:pPr>
        <w:pStyle w:val="Heading3"/>
      </w:pPr>
      <w:r>
        <w:t xml:space="preserve">What each one issues</w:t>
      </w:r>
    </w:p>
    <w:p>
      <w:pPr>
        <w:pStyle w:val="FirstParagraph"/>
      </w:pPr>
      <w:r>
        <w:t xml:space="preserve">Read this before answering any request for an artifact. The category decides whether the request can</w:t>
      </w:r>
      <w:r>
        <w:t xml:space="preserve"> </w:t>
      </w:r>
      <w:r>
        <w:t xml:space="preserve">be satisfied at all.</w:t>
      </w:r>
    </w:p>
    <w:p>
      <w:pPr>
        <w:pStyle w:val="Compact"/>
        <w:numPr>
          <w:ilvl w:val="0"/>
          <w:numId w:val="1002"/>
        </w:numPr>
      </w:pPr>
      <w:r>
        <w:rPr>
          <w:b/>
          <w:bCs/>
        </w:rPr>
        <w:t xml:space="preserve">Nothing.</w:t>
      </w:r>
      <w:r>
        <w:t xml:space="preserve"> </w:t>
      </w:r>
      <w:r>
        <w:t xml:space="preserve">There is no artifact to obtain. Offer what exists instead: named control</w:t>
      </w:r>
      <w:r>
        <w:t xml:space="preserve"> </w:t>
      </w:r>
      <w:r>
        <w:t xml:space="preserve">correspondences, your own evidence, a written program. This covers most items in the reference,</w:t>
      </w:r>
      <w:r>
        <w:t xml:space="preserve"> </w:t>
      </w:r>
      <w:r>
        <w:t xml:space="preserve">including every framework and every control catalog.</w:t>
      </w:r>
    </w:p>
    <w:p>
      <w:pPr>
        <w:pStyle w:val="Compact"/>
        <w:numPr>
          <w:ilvl w:val="0"/>
          <w:numId w:val="1002"/>
        </w:numPr>
      </w:pPr>
      <w:r>
        <w:rPr>
          <w:b/>
          <w:bCs/>
        </w:rPr>
        <w:t xml:space="preserve">A self-attestation you sign yourself.</w:t>
      </w:r>
      <w:r>
        <w:t xml:space="preserve"> </w:t>
      </w:r>
      <w:r>
        <w:t xml:space="preserve">The signature is the instrument and the exposure is</w:t>
      </w:r>
      <w:r>
        <w:t xml:space="preserve"> </w:t>
      </w:r>
      <w:r>
        <w:t xml:space="preserve">yours. Nobody independent looked.</w:t>
      </w:r>
    </w:p>
    <w:p>
      <w:pPr>
        <w:pStyle w:val="Compact"/>
        <w:numPr>
          <w:ilvl w:val="0"/>
          <w:numId w:val="1002"/>
        </w:numPr>
      </w:pPr>
      <w:r>
        <w:rPr>
          <w:b/>
          <w:bCs/>
        </w:rPr>
        <w:t xml:space="preserve">An assessment or examination report.</w:t>
      </w:r>
      <w:r>
        <w:t xml:space="preserve"> </w:t>
      </w:r>
      <w:r>
        <w:t xml:space="preserve">Usually restricted in use, and there is no pass mark. One</w:t>
      </w:r>
      <w:r>
        <w:t xml:space="preserve"> </w:t>
      </w:r>
      <w:r>
        <w:t xml:space="preserve">kind carries a licensed firm's opinion; a controlled-information assessment carries findings only.</w:t>
      </w:r>
    </w:p>
    <w:p>
      <w:pPr>
        <w:pStyle w:val="Compact"/>
        <w:numPr>
          <w:ilvl w:val="0"/>
          <w:numId w:val="1002"/>
        </w:numPr>
      </w:pPr>
      <w:r>
        <w:rPr>
          <w:b/>
          <w:bCs/>
        </w:rPr>
        <w:t xml:space="preserve">A third-party certificate from an accredited body.</w:t>
      </w:r>
      <w:r>
        <w:t xml:space="preserve"> </w:t>
      </w:r>
      <w:r>
        <w:t xml:space="preserve">A certificate for a stated scope. The</w:t>
      </w:r>
      <w:r>
        <w:t xml:space="preserve"> </w:t>
      </w:r>
      <w:r>
        <w:t xml:space="preserve">accreditation is what gives it weight, and the scope statement is what limits it.</w:t>
      </w:r>
    </w:p>
    <w:p>
      <w:pPr>
        <w:pStyle w:val="Compact"/>
        <w:numPr>
          <w:ilvl w:val="0"/>
          <w:numId w:val="1002"/>
        </w:numPr>
      </w:pPr>
      <w:r>
        <w:rPr>
          <w:b/>
          <w:bCs/>
        </w:rPr>
        <w:t xml:space="preserve">A government program status or certification.</w:t>
      </w:r>
      <w:r>
        <w:t xml:space="preserve"> </w:t>
      </w:r>
      <w:r>
        <w:t xml:space="preserve">Recorded and published by the program, for a</w:t>
      </w:r>
      <w:r>
        <w:t xml:space="preserve"> </w:t>
      </w:r>
      <w:r>
        <w:t xml:space="preserve">named offering rather than for a company.</w:t>
      </w:r>
    </w:p>
    <w:p>
      <w:pPr>
        <w:pStyle w:val="Compact"/>
        <w:numPr>
          <w:ilvl w:val="0"/>
          <w:numId w:val="1002"/>
        </w:numPr>
      </w:pPr>
      <w:r>
        <w:rPr>
          <w:b/>
          <w:bCs/>
        </w:rPr>
        <w:t xml:space="preserve">A conformity mark you affix yourself after your own assessment.</w:t>
      </w:r>
      <w:r>
        <w:t xml:space="preserve"> </w:t>
      </w:r>
      <w:r>
        <w:t xml:space="preserve">You assess, declare and mark. A</w:t>
      </w:r>
      <w:r>
        <w:t xml:space="preserve"> </w:t>
      </w:r>
      <w:r>
        <w:t xml:space="preserve">third body is involved only for some product classes.</w:t>
      </w:r>
    </w:p>
    <w:p>
      <w:pPr>
        <w:pStyle w:val="Compact"/>
        <w:numPr>
          <w:ilvl w:val="0"/>
          <w:numId w:val="1002"/>
        </w:numPr>
      </w:pPr>
      <w:r>
        <w:rPr>
          <w:b/>
          <w:bCs/>
        </w:rPr>
        <w:t xml:space="preserve">Identifiers, a score, or a measurement definition.</w:t>
      </w:r>
      <w:r>
        <w:t xml:space="preserve"> </w:t>
      </w:r>
      <w:r>
        <w:t xml:space="preserve">Data, not a verdict. A measurement</w:t>
      </w:r>
      <w:r>
        <w:t xml:space="preserve"> </w:t>
      </w:r>
      <w:r>
        <w:t xml:space="preserve">definition produces a number only once some tool implements it.</w:t>
      </w:r>
    </w:p>
    <w:bookmarkEnd w:id="20"/>
    <w:bookmarkStart w:id="21" w:name="how-these-actually-reach-you"/>
    <w:p>
      <w:pPr>
        <w:pStyle w:val="Heading3"/>
      </w:pPr>
      <w:r>
        <w:t xml:space="preserve">How these actually reach you</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in the reference takes the first route.</w:t>
      </w:r>
      <w:r>
        <w:t xml:space="preserve"> </w:t>
      </w:r>
      <w:r>
        <w:t xml:space="preserve">The market-access regulation reaches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pPr>
        <w:pStyle w:val="BodyText"/>
      </w:pPr>
      <w:r>
        <w:rPr>
          <w:b/>
          <w:bCs/>
        </w:rPr>
        <w:t xml:space="preserve">A defense-style obligation begins with a clause number, not a publication.</w:t>
      </w:r>
      <w:r>
        <w:t xml:space="preserve"> </w:t>
      </w:r>
      <w:r>
        <w:t xml:space="preserve">Ask which solicitation,</w:t>
      </w:r>
      <w:r>
        <w:t xml:space="preserve"> </w:t>
      </w:r>
      <w:r>
        <w:t xml:space="preserve">which contract and which clause number, and check whether a deviation modifies the clause -- the</w:t>
      </w:r>
      <w:r>
        <w:t xml:space="preserve"> </w:t>
      </w:r>
      <w:r>
        <w:t xml:space="preserve">clause text alone can name the wrong revision.</w:t>
      </w:r>
    </w:p>
    <w:bookmarkEnd w:id="21"/>
    <w:bookmarkStart w:id="23" w:name="why-every-status-carries-a-date"/>
    <w:p>
      <w:pPr>
        <w:pStyle w:val="Heading3"/>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3"/>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w:t>
      </w:r>
    </w:p>
    <w:p>
      <w:pPr>
        <w:pStyle w:val="Compact"/>
        <w:numPr>
          <w:ilvl w:val="0"/>
          <w:numId w:val="1003"/>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3"/>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3"/>
        </w:numPr>
      </w:pPr>
      <w:r>
        <w:rPr>
          <w:b/>
          <w:bCs/>
        </w:rPr>
        <w:t xml:space="preserve">A rename.</w:t>
      </w:r>
      <w:r>
        <w:t xml:space="preserve"> </w:t>
      </w:r>
      <w:r>
        <w:t xml:space="preserve">Search stops working, and both names are often legitimately live at once.</w:t>
      </w:r>
    </w:p>
    <w:p>
      <w:pPr>
        <w:pStyle w:val="Compact"/>
        <w:numPr>
          <w:ilvl w:val="0"/>
          <w:numId w:val="1003"/>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t xml:space="preserve">The worked example for the first shape is the federal software attestation story, told as one event</w:t>
      </w:r>
      <w:r>
        <w:t xml:space="preserve"> </w:t>
      </w:r>
      <w:r>
        <w:t xml:space="preserve">when it was two, seven months apart. EO 14028 (2021) directed the guidance. OMB M-22-18 and M-23-16</w:t>
      </w:r>
      <w:r>
        <w:t xml:space="preserve"> </w:t>
      </w:r>
      <w:r>
        <w:t xml:space="preserve">turned it into a collection requirement. EO 14144 (January 2025) would have added submission to a</w:t>
      </w:r>
      <w:r>
        <w:t xml:space="preserve"> </w:t>
      </w:r>
      <w:r>
        <w:t xml:space="preserve">repository, central verification and referral of failures -- and EO 14306, on 2025-06-06, struck that</w:t>
      </w:r>
      <w:r>
        <w:t xml:space="preserve"> </w:t>
      </w:r>
      <w:r>
        <w:t xml:space="preserve">apparatus. Then OMB M-26-05, on 2026-01-23, rescinded the collection mandate itself. Anyone</w:t>
      </w:r>
      <w:r>
        <w:t xml:space="preserve"> </w:t>
      </w:r>
      <w:r>
        <w:t xml:space="preserve">describing a single January 2026 event has lost the fact that the verification model was already gone</w:t>
      </w:r>
      <w:r>
        <w:t xml:space="preserve"> </w:t>
      </w:r>
      <w:r>
        <w:t xml:space="preserve">in mid-2025. The status of the federal repository that received submissions is unknown as of</w:t>
      </w:r>
      <w:r>
        <w:t xml:space="preserve"> </w:t>
      </w:r>
      <w:r>
        <w:t xml:space="preserve">2026-08-06: not reported running, not reported gone. And a signed self-attestation is a different</w:t>
      </w:r>
      <w:r>
        <w:t xml:space="preserve"> </w:t>
      </w:r>
      <w:r>
        <w:t xml:space="preserve">instrument from a certificate -- rescinding the instruction that prompted a signature is prospective,</w:t>
      </w:r>
      <w:r>
        <w:t xml:space="preserve"> </w:t>
      </w:r>
      <w:r>
        <w:t xml:space="preserve">and unsigns nothing.</w:t>
      </w:r>
    </w:p>
    <w:p>
      <w:pPr>
        <w:pStyle w:val="BodyText"/>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2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23"/>
    <w:bookmarkEnd w:id="24"/>
    <w:bookmarkStart w:id="26" w:name="what-this-page-did-not-assess"/>
    <w:p>
      <w:pPr>
        <w:pStyle w:val="Heading2"/>
      </w:pPr>
      <w:r>
        <w:t xml:space="preserve">What this page did not assess</w:t>
      </w:r>
    </w:p>
    <w:p>
      <w:pPr>
        <w:pStyle w:val="FirstParagraph"/>
      </w:pPr>
      <w:r>
        <w:t xml:space="preserve">This page maps at least the items in</w:t>
      </w:r>
      <w:r>
        <w:t xml:space="preserve"> </w:t>
      </w:r>
      <w:hyperlink w:anchor="every-document-on-this-map">
        <w:r>
          <w:rPr>
            <w:rStyle w:val="Hyperlink"/>
          </w:rPr>
          <w:t xml:space="preserve">the reference above</w:t>
        </w:r>
      </w:hyperlink>
      <w:r>
        <w:t xml:space="preserve">. It is not a</w:t>
      </w:r>
      <w:r>
        <w:t xml:space="preserve"> </w:t>
      </w:r>
      <w:r>
        <w:t xml:space="preserve">complete map of the security standards landscape and does not claim to be. The selector carries this</w:t>
      </w:r>
      <w:r>
        <w:t xml:space="preserve"> </w:t>
      </w:r>
      <w:r>
        <w:t xml:space="preserve">same list as a permanent card, in every state including a result with nothing in it, because a short</w:t>
      </w:r>
      <w:r>
        <w:t xml:space="preserve"> </w:t>
      </w:r>
      <w:r>
        <w:t xml:space="preserve">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reaches you sits in one of these, this page will</w:t>
      </w:r>
      <w:r>
        <w:rPr>
          <w:b/>
          <w:bCs/>
        </w:rPr>
        <w:t xml:space="preserve"> </w:t>
      </w:r>
      <w:r>
        <w:rPr>
          <w:b/>
          <w:bCs/>
        </w:rPr>
        <w:t xml:space="preserve">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5">
        <w:r>
          <w:rPr>
            <w:rStyle w:val="Hyperlink"/>
          </w:rPr>
          <w:t xml:space="preserve">the reference file</w:t>
        </w:r>
      </w:hyperlink>
      <w:r>
        <w:t xml:space="preserve">, each with the check to</w:t>
      </w:r>
      <w:r>
        <w:t xml:space="preserve"> </w:t>
      </w:r>
      <w:r>
        <w:t xml:space="preserve">run instead of trusting this page. One limit covers a whole class and is stated once rather than</w:t>
      </w:r>
      <w:r>
        <w:t xml:space="preserve"> </w:t>
      </w:r>
      <w:r>
        <w:t xml:space="preserve">repeated per row: several US regulator and agency sites refused automated requests on the check date,</w:t>
      </w:r>
      <w:r>
        <w:t xml:space="preserve"> </w:t>
      </w:r>
      <w:r>
        <w:t xml:space="preserve">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applies to your</w:t>
      </w:r>
      <w:r>
        <w:t xml:space="preserve"> </w:t>
      </w:r>
      <w:r>
        <w:t xml:space="preserve">organization: a clause number decides that, not a web page. Whether you must comply with anything: no</w:t>
      </w:r>
      <w:r>
        <w:t xml:space="preserve"> </w:t>
      </w:r>
      <w:r>
        <w:t xml:space="preserve">legal advice is given here. Which tool, scanner, format or assessor to use: none is named. Whether</w:t>
      </w:r>
      <w:r>
        <w:t xml:space="preserve"> </w:t>
      </w:r>
      <w:r>
        <w:t xml:space="preserve">anything published on this site conforms to, aligns with or partially satisfies anything named here:</w:t>
      </w:r>
      <w:r>
        <w:t xml:space="preserve"> </w:t>
      </w:r>
      <w:r>
        <w:t xml:space="preserve">it does not, and no such claim is made. And how much any of it costs, in money, effort or time: not</w:t>
      </w:r>
      <w:r>
        <w:t xml:space="preserve"> </w:t>
      </w:r>
      <w:r>
        <w:t xml:space="preserve">assessed.</w:t>
      </w:r>
    </w:p>
    <w:p>
      <w:r>
        <w:pict>
          <v:rect style="width:0;height:1.5pt" o:hralign="center" o:hrstd="t" o:hr="t"/>
        </w:pict>
      </w:r>
    </w:p>
    <w:bookmarkEnd w:id="26"/>
    <w:bookmarkStart w:id="35"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4"/>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27">
        <w:r>
          <w:rPr>
            <w:rStyle w:val="Hyperlink"/>
          </w:rPr>
          <w:t xml:space="preserve">CSRC publication records</w:t>
        </w:r>
      </w:hyperlink>
      <w:r>
        <w:t xml:space="preserve">; for the EU items, the</w:t>
      </w:r>
      <w:r>
        <w:t xml:space="preserve"> </w:t>
      </w:r>
      <w:hyperlink r:id="rId28">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29">
        <w:r>
          <w:rPr>
            <w:rStyle w:val="Hyperlink"/>
          </w:rPr>
          <w:t xml:space="preserve">Federal Register</w:t>
        </w:r>
      </w:hyperlink>
      <w:r>
        <w:t xml:space="preserve">.</w:t>
      </w:r>
    </w:p>
    <w:p>
      <w:pPr>
        <w:pStyle w:val="Compact"/>
        <w:numPr>
          <w:ilvl w:val="0"/>
          <w:numId w:val="1004"/>
        </w:numPr>
      </w:pPr>
      <w:r>
        <w:rPr>
          <w:b/>
          <w:bCs/>
        </w:rPr>
        <w:t xml:space="preserve">The program's own definitions page</w:t>
      </w:r>
      <w:r>
        <w:t xml:space="preserve">, for anything whose vocabulary has moved. The</w:t>
      </w:r>
      <w:r>
        <w:t xml:space="preserve"> </w:t>
      </w:r>
      <w:hyperlink r:id="rId30">
        <w:r>
          <w:rPr>
            <w:rStyle w:val="Hyperlink"/>
          </w:rPr>
          <w:t xml:space="preserve">cloud program's definitions</w:t>
        </w:r>
      </w:hyperlink>
      <w:r>
        <w:t xml:space="preserve"> </w:t>
      </w:r>
      <w:r>
        <w:t xml:space="preserve">is the live example.</w:t>
      </w:r>
    </w:p>
    <w:p>
      <w:pPr>
        <w:pStyle w:val="Compact"/>
        <w:numPr>
          <w:ilvl w:val="0"/>
          <w:numId w:val="1004"/>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4"/>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1">
        <w:r>
          <w:rPr>
            <w:rStyle w:val="Hyperlink"/>
          </w:rPr>
          <w:t xml:space="preserve">January 2026 memorandum that rescinded the federal attestation mandate</w:t>
        </w:r>
      </w:hyperlink>
      <w:r>
        <w:t xml:space="preserve">,</w:t>
      </w:r>
      <w:r>
        <w:t xml:space="preserve"> </w:t>
      </w:r>
      <w:r>
        <w:t xml:space="preserve">the</w:t>
      </w:r>
      <w:r>
        <w:t xml:space="preserve"> </w:t>
      </w:r>
      <w:hyperlink r:id="rId32">
        <w:r>
          <w:rPr>
            <w:rStyle w:val="Hyperlink"/>
          </w:rPr>
          <w:t xml:space="preserve">2026 SBOM minimum elements</w:t>
        </w:r>
      </w:hyperlink>
      <w:r>
        <w:t xml:space="preserve">,</w:t>
      </w:r>
      <w:r>
        <w:t xml:space="preserve"> </w:t>
      </w:r>
      <w:r>
        <w:t xml:space="preserve">the</w:t>
      </w:r>
      <w:r>
        <w:t xml:space="preserve"> </w:t>
      </w:r>
      <w:hyperlink r:id="rId33">
        <w:r>
          <w:rPr>
            <w:rStyle w:val="Hyperlink"/>
          </w:rPr>
          <w:t xml:space="preserve">SSDF publication listing</w:t>
        </w:r>
      </w:hyperlink>
      <w:r>
        <w:t xml:space="preserve">, and the</w:t>
      </w:r>
      <w:r>
        <w:t xml:space="preserve"> </w:t>
      </w:r>
      <w:hyperlink r:id="rId34">
        <w:r>
          <w:rPr>
            <w:rStyle w:val="Hyperlink"/>
          </w:rPr>
          <w:t xml:space="preserve">build and source track specifications</w:t>
        </w:r>
      </w:hyperlink>
      <w:r>
        <w:t xml:space="preserve">.</w:t>
      </w:r>
    </w:p>
    <w:p>
      <w:r>
        <w:pict>
          <v:rect style="width:0;height:1.5pt" o:hralign="center" o:hrstd="t" o:hr="t"/>
        </w:pict>
      </w:r>
    </w:p>
    <w:bookmarkEnd w:id="35"/>
    <w:bookmarkStart w:id="43"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The same rows as a standalone lookup file, grouped by addressee</w:t>
            </w:r>
          </w:p>
        </w:tc>
        <w:tc>
          <w:tcPr/>
          <w:p>
            <w:pPr>
              <w:pStyle w:val="Compact"/>
            </w:pPr>
            <w:hyperlink r:id="rId16">
              <w:r>
                <w:rPr>
                  <w:rStyle w:val="Hyperlink"/>
                </w:rPr>
                <w:t xml:space="preserve">The reference table</w:t>
              </w:r>
            </w:hyperlink>
          </w:p>
        </w:tc>
      </w:tr>
      <w:tr>
        <w:tc>
          <w:tcPr/>
          <w:p>
            <w:pPr>
              <w:pStyle w:val="Compact"/>
            </w:pPr>
            <w:r>
              <w:t xml:space="preserve">Whether your teams already do this, rather than which standards reach you</w:t>
            </w:r>
          </w:p>
        </w:tc>
        <w:tc>
          <w:tcPr/>
          <w:p>
            <w:pPr>
              <w:pStyle w:val="Compact"/>
            </w:pPr>
            <w:hyperlink r:id="rId36">
              <w:r>
                <w:rPr>
                  <w:rStyle w:val="Hyperlink"/>
                </w:rPr>
                <w:t xml:space="preserve">The CISO summary</w:t>
              </w:r>
            </w:hyperlink>
          </w:p>
        </w:tc>
      </w:tr>
      <w:tr>
        <w:tc>
          <w:tcPr/>
          <w:p>
            <w:pPr>
              <w:pStyle w:val="Compact"/>
            </w:pPr>
            <w:r>
              <w:t xml:space="preserve">The control set for AI-assisted work</w:t>
            </w:r>
          </w:p>
        </w:tc>
        <w:tc>
          <w:tcPr/>
          <w:p>
            <w:pPr>
              <w:pStyle w:val="Compact"/>
            </w:pPr>
            <w:hyperlink r:id="rId1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7">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8">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9">
              <w:r>
                <w:rPr>
                  <w:rStyle w:val="Hyperlink"/>
                </w:rPr>
                <w:t xml:space="preserve">Dependency integrity</w:t>
              </w:r>
            </w:hyperlink>
          </w:p>
        </w:tc>
      </w:tr>
      <w:tr>
        <w:tc>
          <w:tcPr/>
          <w:p>
            <w:pPr>
              <w:pStyle w:val="Compact"/>
            </w:pPr>
            <w:r>
              <w:t xml:space="preserve">Judging code, whoever wrote it</w:t>
            </w:r>
          </w:p>
        </w:tc>
        <w:tc>
          <w:tcPr/>
          <w:p>
            <w:pPr>
              <w:pStyle w:val="Compact"/>
            </w:pPr>
            <w:hyperlink r:id="rId40">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22">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41">
              <w:r>
                <w:rPr>
                  <w:rStyle w:val="Hyperlink"/>
                </w:rPr>
                <w:t xml:space="preserve">CI and standards</w:t>
              </w:r>
            </w:hyperlink>
          </w:p>
        </w:tc>
      </w:tr>
      <w:tr>
        <w:tc>
          <w:tcPr/>
          <w:p>
            <w:pPr>
              <w:pStyle w:val="Compact"/>
            </w:pPr>
            <w:r>
              <w:t xml:space="preserve">All of it, and how to adopt</w:t>
            </w:r>
          </w:p>
        </w:tc>
        <w:tc>
          <w:tcPr/>
          <w:p>
            <w:pPr>
              <w:pStyle w:val="Compact"/>
            </w:pPr>
            <w:hyperlink r:id="rId42">
              <w:r>
                <w:rPr>
                  <w:rStyle w:val="Hyperlink"/>
                </w:rPr>
                <w:t xml:space="preserve">Overview</w:t>
              </w:r>
            </w:hyperlink>
          </w:p>
        </w:tc>
      </w:tr>
    </w:tbl>
    <w:p>
      <w:r>
        <w:pict>
          <v:rect style="width:0;height:1.5pt" o:hralign="center" o:hrstd="t" o:hr="t"/>
        </w:pict>
      </w:r>
    </w:p>
    <w:p>
      <w:pPr>
        <w:pStyle w:val="FirstParagraph"/>
      </w:pPr>
      <w:r>
        <w:rPr>
          <w:b/>
          <w:bCs/>
        </w:rPr>
        <w:t xml:space="preserve">Every status on this page was checked on 2026-08-06.</w:t>
      </w:r>
      <w:r>
        <w:t xml:space="preserve"> </w:t>
      </w:r>
      <w:r>
        <w:t xml:space="preserve">This is a snapshot, not a maintained</w:t>
      </w:r>
      <w:r>
        <w:t xml:space="preserve"> </w:t>
      </w:r>
      <w:r>
        <w:t xml:space="preserve">register: several of those facts changed within the twelve months before that date, and some will</w:t>
      </w:r>
      <w:r>
        <w:t xml:space="preserve"> </w:t>
      </w:r>
      <w:r>
        <w:t xml:space="preserve">have changed since. Re-check anything you intend to rely on at the four places named in</w:t>
      </w:r>
      <w:r>
        <w:t xml:space="preserve"> </w:t>
      </w:r>
      <w:hyperlink w:anchor="sources-and-how-to-re-check-them">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2026-08-06T14:50:28Z</dcterms:created>
  <dcterms:modified xsi:type="dcterms:W3CDTF">2026-08-06T14:50:28Z</dcterms:modified>
</cp:coreProperties>
</file>

<file path=docProps/custom.xml><?xml version="1.0" encoding="utf-8"?>
<Properties xmlns="http://schemas.openxmlformats.org/officeDocument/2006/custom-properties" xmlns:vt="http://schemas.openxmlformats.org/officeDocument/2006/docPropsVTypes"/>
</file>