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7" w:name="X039aeb2016e4fe7379ac9a7b5b9485b158f6d95"/>
    <w:p>
      <w:pPr>
        <w:pStyle w:val="Heading1"/>
      </w:pPr>
      <w:r>
        <w:t xml:space="preserve">Judging code quality, whoever or whatever wrote it</w:t>
      </w:r>
    </w:p>
    <w:p>
      <w:pPr>
        <w:pStyle w:val="FirstParagraph"/>
      </w:pPr>
      <w:r>
        <w:t xml:space="preserve">A rubric for answering one question about a body of code:</w:t>
      </w:r>
      <w:r>
        <w:t xml:space="preserve"> </w:t>
      </w:r>
      <w:r>
        <w:rPr>
          <w:b/>
          <w:bCs/>
        </w:rPr>
        <w:t xml:space="preserve">is this good, or is it filler that</w:t>
      </w:r>
      <w:r>
        <w:rPr>
          <w:b/>
          <w:bCs/>
        </w:rPr>
        <w:t xml:space="preserve"> </w:t>
      </w:r>
      <w:r>
        <w:rPr>
          <w:b/>
          <w:bCs/>
        </w:rPr>
        <w:t xml:space="preserve">looks finished?</w:t>
      </w:r>
      <w:r>
        <w:t xml:space="preserve"> </w:t>
      </w:r>
      <w:r>
        <w:t xml:space="preserve">It is written for a repository where much of the code was produced by an agent</w:t>
      </w:r>
      <w:r>
        <w:t xml:space="preserve"> </w:t>
      </w:r>
      <w:r>
        <w:t xml:space="preserve">across parallel sessions, but nothing in it depends on who typed the lines. The rubric judges the</w:t>
      </w:r>
      <w:r>
        <w:t xml:space="preserve"> </w:t>
      </w:r>
      <w:r>
        <w:t xml:space="preserve">artefact.</w:t>
      </w:r>
    </w:p>
    <w:p>
      <w:pPr>
        <w:pStyle w:val="BlockText"/>
      </w:pPr>
      <w:r>
        <w:rPr>
          <w:b/>
          <w:bCs/>
        </w:rPr>
        <w:t xml:space="preserve">Meant to be worked with, not read straight through.</w:t>
      </w:r>
      <w:r>
        <w:t xml:space="preserve"> </w:t>
      </w:r>
      <w:r>
        <w:t xml:space="preserve">Most of this rubric is a base for an</w:t>
      </w:r>
      <w:r>
        <w:t xml:space="preserve"> </w:t>
      </w:r>
      <w:r>
        <w:t xml:space="preserve">agent to apply to your code, not prose to work through by hand.</w:t>
      </w:r>
    </w:p>
    <w:p>
      <w:pPr>
        <w:pStyle w:val="BlockText"/>
      </w:pPr>
      <w:r>
        <w:t xml:space="preserve">The fastest way in: give an agent -- Claude Code or another -- the</w:t>
      </w:r>
      <w:r>
        <w:t xml:space="preserve"> </w:t>
      </w:r>
      <w:hyperlink r:id="rId9">
        <w:r>
          <w:rPr>
            <w:rStyle w:val="Hyperlink"/>
          </w:rPr>
          <w:t xml:space="preserve">markdown</w:t>
        </w:r>
      </w:hyperlink>
      <w:r>
        <w:t xml:space="preserve">, ask it to</w:t>
      </w:r>
      <w:r>
        <w:t xml:space="preserve"> </w:t>
      </w:r>
      <w:r>
        <w:rPr>
          <w:b/>
          <w:bCs/>
        </w:rPr>
        <w:t xml:space="preserve">summarize the document against your repository</w:t>
      </w:r>
      <w:r>
        <w:t xml:space="preserve">, and then ask it questions. What here</w:t>
      </w:r>
      <w:r>
        <w:t xml:space="preserve"> </w:t>
      </w:r>
      <w:r>
        <w:t xml:space="preserve">already holds? What would have to change? What would each gap cost? That conversation is</w:t>
      </w:r>
      <w:r>
        <w:t xml:space="preserve"> </w:t>
      </w:r>
      <w:r>
        <w:t xml:space="preserve">worth more than reading top to bottom, because the answers are about your code rather than</w:t>
      </w:r>
      <w:r>
        <w:t xml:space="preserve"> </w:t>
      </w:r>
      <w:r>
        <w:t xml:space="preserve">about the document.</w:t>
      </w:r>
    </w:p>
    <w:p>
      <w:pPr>
        <w:pStyle w:val="BlockText"/>
      </w:pPr>
      <w:r>
        <w:t xml:space="preserve">Reading or circulating instead?</w:t>
      </w:r>
      <w:r>
        <w:t xml:space="preserve"> </w:t>
      </w:r>
      <w:hyperlink r:id="rId10">
        <w:r>
          <w:rPr>
            <w:rStyle w:val="Hyperlink"/>
          </w:rPr>
          <w:t xml:space="preserve">Word document</w:t>
        </w:r>
      </w:hyperlink>
      <w:r>
        <w:t xml:space="preserve">.</w:t>
      </w:r>
      <w:r>
        <w:t xml:space="preserve"> </w:t>
      </w:r>
      <w:hyperlink r:id="rId11">
        <w:r>
          <w:rPr>
            <w:rStyle w:val="Hyperlink"/>
          </w:rPr>
          <w:t xml:space="preserve">Every file, both formats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what-you-get"/>
    <w:p>
      <w:pPr>
        <w:pStyle w:val="Heading2"/>
      </w:pPr>
      <w:r>
        <w:t xml:space="preserve">What you get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scorecard you can run each release</w:t>
      </w:r>
      <w:r>
        <w:t xml:space="preserve">, split into rows that are allowed to decide a verdict</w:t>
      </w:r>
      <w:r>
        <w:t xml:space="preserve"> </w:t>
      </w:r>
      <w:r>
        <w:t xml:space="preserve">and rows that are only allowed to start a conversation. An argument about "is this good enough"</w:t>
      </w:r>
      <w:r>
        <w:t xml:space="preserve"> </w:t>
      </w:r>
      <w:r>
        <w:t xml:space="preserve">then resolves against structure instead of against whoever quotes the largest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sentence to point at</w:t>
      </w:r>
      <w:r>
        <w:t xml:space="preserve"> </w:t>
      </w:r>
      <w:r>
        <w:t xml:space="preserve">when somebody proposes a coverage floor or a complexity gate, plus</w:t>
      </w:r>
      <w:r>
        <w:t xml:space="preserve"> </w:t>
      </w:r>
      <w:r>
        <w:t xml:space="preserve">the published evidence that makes it a defect rather than a matter of taste.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bibliography and the hedge for each of those findings</w:t>
      </w:r>
      <w:r>
        <w:t xml:space="preserve">, so a decision not to gate on a</w:t>
      </w:r>
      <w:r>
        <w:t xml:space="preserve"> </w:t>
      </w:r>
      <w:r>
        <w:t xml:space="preserve">number survives review by someone who has read the underlying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map from each way machine-written code goes wrong to the control that neutralises it</w:t>
      </w:r>
      <w:r>
        <w:t xml:space="preserve">, with</w:t>
      </w:r>
      <w:r>
        <w:t xml:space="preserve"> </w:t>
      </w:r>
      <w:r>
        <w:t xml:space="preserve">a tag naming which of your documents owns that control -- so adopting this adds gates rather than</w:t>
      </w:r>
      <w:r>
        <w:t xml:space="preserve"> </w:t>
      </w:r>
      <w:r>
        <w:t xml:space="preserve">a second copy of rules you already enforce.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placement rule for every gate</w:t>
      </w:r>
      <w:r>
        <w:t xml:space="preserve">: which run in the local loop, which are pipeline-first, and</w:t>
      </w:r>
      <w:r>
        <w:t xml:space="preserve"> </w:t>
      </w:r>
      <w:r>
        <w:t xml:space="preserve">the one condition under which that decision must be re-derived from scratch.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review method that makes a large diff finite</w:t>
      </w:r>
      <w:r>
        <w:t xml:space="preserve">: depth tiers, so the line-by-line read is</w:t>
      </w:r>
      <w:r>
        <w:t xml:space="preserve"> </w:t>
      </w:r>
      <w:r>
        <w:t xml:space="preserve">aimed at the small fraction that earns it and every other file carries a named cheaper</w:t>
      </w:r>
      <w:r>
        <w:t xml:space="preserve"> </w:t>
      </w:r>
      <w:r>
        <w:t xml:space="preserve">obligation instead of being either skipped in silence or read at ruinous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question set for the hardest review in any codebase</w:t>
      </w:r>
      <w:r>
        <w:t xml:space="preserve"> </w:t>
      </w:r>
      <w:r>
        <w:t xml:space="preserve">-- the seam where content of unknown</w:t>
      </w:r>
      <w:r>
        <w:t xml:space="preserve"> </w:t>
      </w:r>
      <w:r>
        <w:t xml:space="preserve">provenance becomes running code -- including the two questions almost always missed.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widely repeated figures about machine-written code that did not survive verification</w:t>
      </w:r>
      <w:r>
        <w:t xml:space="preserve">,</w:t>
      </w:r>
      <w:r>
        <w:t xml:space="preserve"> </w:t>
      </w:r>
      <w:r>
        <w:t xml:space="preserve">named so you can stop repeating them, and as a worked demonstration that this document's own</w:t>
      </w:r>
      <w:r>
        <w:t xml:space="preserve"> </w:t>
      </w:r>
      <w:r>
        <w:t xml:space="preserve">filter has teeth.</w:t>
      </w:r>
    </w:p>
    <w:p>
      <w:r>
        <w:pict>
          <v:rect style="width:0;height:1.5pt" o:hralign="center" o:hrstd="t" o:hr="t"/>
        </w:pict>
      </w:r>
    </w:p>
    <w:bookmarkEnd w:id="12"/>
    <w:bookmarkStart w:id="14" w:name="Xeb4de11c7f9e84ded4ebc586203c6a5fc4cb3c1"/>
    <w:p>
      <w:pPr>
        <w:pStyle w:val="Heading2"/>
      </w:pPr>
      <w:r>
        <w:t xml:space="preserve">What this costs you, and where it does not apply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confers no certification.</w:t>
      </w:r>
      <w:r>
        <w:t xml:space="preserve"> </w:t>
      </w:r>
      <w:r>
        <w:t xml:space="preserve">There is no badge, no pass mark, and no grade. A completed</w:t>
      </w:r>
      <w:r>
        <w:t xml:space="preserve"> </w:t>
      </w:r>
      <w:r>
        <w:t xml:space="preserve">scorecard is an argued position with pointers, nothing more.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supplies no thresholds.</w:t>
      </w:r>
      <w:r>
        <w:t xml:space="preserve"> </w:t>
      </w:r>
      <w:r>
        <w:t xml:space="preserve">The evidence validates that single metrics fail; it supplies no</w:t>
      </w:r>
      <w:r>
        <w:t xml:space="preserve"> </w:t>
      </w:r>
      <w:r>
        <w:t xml:space="preserve">validated cutoff for a combined scorecard. Any number you use is one you set and must defend.</w:t>
      </w:r>
      <w:r>
        <w:t xml:space="preserve"> </w:t>
      </w: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There is no validated universal threshold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 ships no configuration.</w:t>
      </w:r>
      <w:r>
        <w:t xml:space="preserve"> </w:t>
      </w:r>
      <w:r>
        <w:t xml:space="preserve">No workflow, no tool selection, no lint ruleset. Every gate named</w:t>
      </w:r>
      <w:r>
        <w:t xml:space="preserve"> </w:t>
      </w:r>
      <w:r>
        <w:t xml:space="preserve">below is described by what it must prove, not by the product that proves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Three of the eleven rows are owned by a companion document</w:t>
      </w:r>
      <w:r>
        <w:t xml:space="preserve"> </w:t>
      </w:r>
      <w:r>
        <w:t xml:space="preserve">-- your security standard, your</w:t>
      </w:r>
      <w:r>
        <w:t xml:space="preserve"> </w:t>
      </w:r>
      <w:r>
        <w:t xml:space="preserve">dependency standard, your test standard. This document checks that the control is present; it</w:t>
      </w:r>
      <w:r>
        <w:t xml:space="preserve"> </w:t>
      </w:r>
      <w:r>
        <w:t xml:space="preserve">does not restate it. If you have no such companion, the rubric will tell you a row is missing and</w:t>
      </w:r>
      <w:r>
        <w:t xml:space="preserve"> </w:t>
      </w:r>
      <w:r>
        <w:t xml:space="preserve">will not tell you how to build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measurement layer costs pipeline minutes and produces advisory output nobody is obliged to</w:t>
      </w:r>
      <w:r>
        <w:rPr>
          <w:b/>
          <w:bCs/>
        </w:rPr>
        <w:t xml:space="preserve"> </w:t>
      </w:r>
      <w:r>
        <w:rPr>
          <w:b/>
          <w:bCs/>
        </w:rPr>
        <w:t xml:space="preserve">act on.</w:t>
      </w:r>
      <w:r>
        <w:t xml:space="preserve"> </w:t>
      </w:r>
      <w:r>
        <w:t xml:space="preserve">Budget the attention, not only the runtime. An advisory job nobody reads is worse than</w:t>
      </w:r>
      <w:r>
        <w:t xml:space="preserve"> </w:t>
      </w:r>
      <w:r>
        <w:t xml:space="preserve">absent, because the scorecard still counts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Several rows assume a pipeline that can block a merge.</w:t>
      </w:r>
      <w:r>
        <w:t xml:space="preserve"> </w:t>
      </w:r>
      <w:r>
        <w:t xml:space="preserve">Where merges cannot be blocked, Tier 1</w:t>
      </w:r>
      <w:r>
        <w:t xml:space="preserve"> </w:t>
      </w:r>
      <w:r>
        <w:t xml:space="preserve">degrades from a control to a checklist, and the honest scorecard says so.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Figures come from two places, and the difference is marked at the point of use.</w:t>
      </w:r>
      <w:r>
        <w:t xml:space="preserve"> </w:t>
      </w:r>
      <w:r>
        <w:t xml:space="preserve">Every</w:t>
      </w:r>
      <w:r>
        <w:t xml:space="preserve"> </w:t>
      </w:r>
      <w:r>
        <w:t xml:space="preserve">published-research figure carries an explicit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tag and its own limitation in the</w:t>
      </w:r>
      <w:r>
        <w:t xml:space="preserve"> </w:t>
      </w:r>
      <w:r>
        <w:t xml:space="preserve">same sentence. The remaining figures were measured in one project's practice and are stated to</w:t>
      </w:r>
      <w:r>
        <w:t xml:space="preserve"> </w:t>
      </w:r>
      <w:r>
        <w:t xml:space="preserve">justify a rule, never as constants you should expect to reproduce. Where a rule came from a</w:t>
      </w:r>
      <w:r>
        <w:t xml:space="preserve"> </w:t>
      </w:r>
      <w:r>
        <w:t xml:space="preserve">specific failure, the failure is described without its setting.</w:t>
      </w:r>
    </w:p>
    <w:p>
      <w:r>
        <w:pict>
          <v:rect style="width:0;height:1.5pt" o:hralign="center" o:hrstd="t" o:hr="t"/>
        </w:pict>
      </w:r>
    </w:p>
    <w:bookmarkEnd w:id="14"/>
    <w:bookmarkStart w:id="16" w:name="how-to-adopt-this"/>
    <w:p>
      <w:pPr>
        <w:pStyle w:val="Heading2"/>
      </w:pPr>
      <w:r>
        <w:t xml:space="preserve">How to adopt this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 Tier 1 as a read-only audit, once.</w:t>
      </w:r>
      <w:r>
        <w:t xml:space="preserve"> </w:t>
      </w:r>
      <w:r>
        <w:t xml:space="preserve">Answer the six Tier 1 questions about your</w:t>
      </w:r>
      <w:r>
        <w:t xml:space="preserve"> </w:t>
      </w:r>
      <w:r>
        <w:t xml:space="preserve">repository and write a pointer to the evidence for each. Anything you did not check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, and unverified is not a pass. This takes an afternoon and is the whole minimum</w:t>
      </w:r>
      <w:r>
        <w:t xml:space="preserve"> </w:t>
      </w:r>
      <w:r>
        <w:t xml:space="preserve">viable adoption.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Close the cheapest Tier 1 gap.</w:t>
      </w:r>
      <w:r>
        <w:t xml:space="preserve"> </w:t>
      </w:r>
      <w:r>
        <w:t xml:space="preserve">Tier 1 carries the verdict, so a missing durable control</w:t>
      </w:r>
      <w:r>
        <w:t xml:space="preserve"> </w:t>
      </w:r>
      <w:r>
        <w:t xml:space="preserve">outranks every measurement gate you could add instead.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 one Tier 2 gate, with a receipt.</w:t>
      </w:r>
      <w:r>
        <w:t xml:space="preserve"> </w:t>
      </w:r>
      <w:r>
        <w:t xml:space="preserve">Pick the one that answers a question you currently</w:t>
      </w:r>
      <w:r>
        <w:t xml:space="preserve"> </w:t>
      </w:r>
      <w:r>
        <w:t xml:space="preserve">cannot answer. Make it print what it examined before you believe its green. See</w:t>
      </w:r>
      <w:r>
        <w:t xml:space="preserve"> </w:t>
      </w:r>
      <w:hyperlink r:id="rId15">
        <w:r>
          <w:rPr>
            <w:rStyle w:val="Hyperlink"/>
          </w:rPr>
          <w:t xml:space="preserve">Receipts: count what the check examined, never what it found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Attack it with the failure class it was built to catch</w:t>
      </w:r>
      <w:r>
        <w:t xml:space="preserve">, before you record it as built.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 your thresholds in your own appendix</w:t>
      </w:r>
      <w:r>
        <w:t xml:space="preserve">, labelled project-set rather than</w:t>
      </w:r>
      <w:r>
        <w:t xml:space="preserve"> </w:t>
      </w:r>
      <w:r>
        <w:t xml:space="preserve">evidence-certified, and revisit them as data accumulates.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Re-run the scorecard each release.</w:t>
      </w:r>
      <w:r>
        <w:t xml:space="preserve"> </w:t>
      </w:r>
      <w:r>
        <w:t xml:space="preserve">The rows do not move; the answers do.</w:t>
      </w:r>
    </w:p>
    <w:p>
      <w:r>
        <w:pict>
          <v:rect style="width:0;height:1.5pt" o:hralign="center" o:hrstd="t" o:hr="t"/>
        </w:pict>
      </w:r>
    </w:p>
    <w:bookmarkEnd w:id="16"/>
    <w:bookmarkStart w:id="23" w:name="the-rubric-two-tiers-weighted-unequally"/>
    <w:p>
      <w:pPr>
        <w:pStyle w:val="Heading2"/>
      </w:pPr>
      <w:r>
        <w:t xml:space="preserve">The rubric: two tiers, weighted unequally</w:t>
      </w:r>
    </w:p>
    <w:p>
      <w:pPr>
        <w:pStyle w:val="FirstParagraph"/>
      </w:pPr>
      <w:r>
        <w:t xml:space="preserve">The structural scaffold is a recognised product-quality model rather than invented categories:</w:t>
      </w:r>
      <w:r>
        <w:t xml:space="preserve"> </w:t>
      </w:r>
      <w:r>
        <w:rPr>
          <w:b/>
          <w:bCs/>
        </w:rPr>
        <w:t xml:space="preserve">[external]</w:t>
      </w:r>
      <w:r>
        <w:t xml:space="preserve"> </w:t>
      </w:r>
      <w:r>
        <w:t xml:space="preserve">ISO/IEC 25010:2023 decomposes maintainability into modularity, reusability,</w:t>
      </w:r>
      <w:r>
        <w:t xml:space="preserve"> </w:t>
      </w:r>
      <w:r>
        <w:t xml:space="preserve">analyzability, modifiability and testability -- in other words low coupling plus information hiding</w:t>
      </w:r>
      <w:r>
        <w:t xml:space="preserve"> </w:t>
      </w:r>
      <w:r>
        <w:t xml:space="preserve">-- which is a structural property and not a metric score. Tier 1 is that property enforced as</w:t>
      </w:r>
      <w:r>
        <w:t xml:space="preserve"> </w:t>
      </w:r>
      <w:r>
        <w:t xml:space="preserve">machine-checked architectural rules.</w:t>
      </w:r>
    </w:p>
    <w:p>
      <w:pPr>
        <w:pStyle w:val="BodyText"/>
      </w:pPr>
      <w:r>
        <w:rPr>
          <w:b/>
          <w:bCs/>
        </w:rPr>
        <w:t xml:space="preserve">Tier 1 -- durable controls. These carry the verdict.</w:t>
      </w:r>
      <w:r>
        <w:t xml:space="preserve"> </w:t>
      </w:r>
      <w:r>
        <w:t xml:space="preserve">Structural, machine-enforceable</w:t>
      </w:r>
      <w:r>
        <w:t xml:space="preserve"> </w:t>
      </w:r>
      <w:r>
        <w:t xml:space="preserve">properties where quality is hard to fake.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  <w:tc>
          <w:tcPr/>
          <w:p>
            <w:pPr>
              <w:pStyle w:val="Compact"/>
            </w:pPr>
            <w:r>
              <w:t xml:space="preserve">Gate type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Enforced architecture boundaries</w:t>
            </w:r>
          </w:p>
        </w:tc>
        <w:tc>
          <w:tcPr/>
          <w:p>
            <w:pPr>
              <w:pStyle w:val="Compact"/>
            </w:pPr>
            <w:r>
              <w:t xml:space="preserve">Are module and layer rules machine-checked in the pipeline, rather than documented?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Strict type checking</w:t>
            </w:r>
          </w:p>
        </w:tc>
        <w:tc>
          <w:tcPr/>
          <w:p>
            <w:pPr>
              <w:pStyle w:val="Compact"/>
            </w:pPr>
            <w:r>
              <w:t xml:space="preserve">Is the strictest available mode on, with no blanket suppressions -- every suppression carrying its error code?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Tests verify behaviour</w:t>
            </w:r>
          </w:p>
        </w:tc>
        <w:tc>
          <w:tcPr/>
          <w:p>
            <w:pPr>
              <w:pStyle w:val="Compact"/>
            </w:pPr>
            <w:r>
              <w:t xml:space="preserve">Do tests assert real values and failure paths, rather than mock choreography?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Your test standard; checked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Dependency integrity</w:t>
            </w:r>
          </w:p>
        </w:tc>
        <w:tc>
          <w:tcPr/>
          <w:p>
            <w:pPr>
              <w:pStyle w:val="Compact"/>
            </w:pPr>
            <w:r>
              <w:t xml:space="preserve">Is every dependency existence-verified, hash-locked, and is a new import audited?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Your dependency standard; pointer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 scanning plus a threat model</w:t>
            </w:r>
          </w:p>
        </w:tc>
        <w:tc>
          <w:tcPr/>
          <w:p>
            <w:pPr>
              <w:pStyle w:val="Compact"/>
            </w:pPr>
            <w:r>
              <w:t xml:space="preserve">Are the scanners blocking, and is there a written threat model and a human review step?</w:t>
            </w:r>
          </w:p>
        </w:tc>
        <w:tc>
          <w:tcPr/>
          <w:p>
            <w:pPr>
              <w:pStyle w:val="Compact"/>
            </w:pPr>
            <w:r>
              <w:t xml:space="preserve">Deterministic plus advisory</w:t>
            </w:r>
          </w:p>
        </w:tc>
        <w:tc>
          <w:tcPr/>
          <w:p>
            <w:pPr>
              <w:pStyle w:val="Compact"/>
            </w:pPr>
            <w:r>
              <w:t xml:space="preserve">Your security standard; pointer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Published-artefact integrity</w:t>
            </w:r>
          </w:p>
        </w:tc>
        <w:tc>
          <w:tcPr/>
          <w:p>
            <w:pPr>
              <w:pStyle w:val="Compact"/>
            </w:pPr>
            <w:r>
              <w:t xml:space="preserve">Does a released package ship only intended content, gated before the irreversible upload?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</w:tbl>
    <w:p>
      <w:pPr>
        <w:pStyle w:val="BodyText"/>
      </w:pPr>
      <w:r>
        <w:t xml:space="preserve">Row 6 is the outbound direction of the supply chain and is distinct from row 4's inbound direction.</w:t>
      </w:r>
      <w:r>
        <w:t xml:space="preserve"> </w:t>
      </w:r>
      <w:r>
        <w:t xml:space="preserve">The rule and its failure shape are already published: see</w:t>
      </w:r>
      <w:r>
        <w:t xml:space="preserve"> </w:t>
      </w:r>
      <w:hyperlink r:id="rId17">
        <w:r>
          <w:rPr>
            <w:rStyle w:val="Hyperlink"/>
          </w:rPr>
          <w:t xml:space="preserve">Package manifests are allowlists, not sweeps</w:t>
        </w:r>
      </w:hyperlink>
      <w:r>
        <w:t xml:space="preserve">.</w:t>
      </w:r>
      <w:r>
        <w:t xml:space="preserve"> </w:t>
      </w:r>
      <w:r>
        <w:t xml:space="preserve">The case worth naming as an instance is that material a project treats as withheld can travel</w:t>
      </w:r>
      <w:r>
        <w:t xml:space="preserve"> </w:t>
      </w:r>
      <w:r>
        <w:t xml:space="preserve">inside a published distribution without anyone reviewing the packaging list.</w:t>
      </w:r>
    </w:p>
    <w:p>
      <w:pPr>
        <w:pStyle w:val="BodyText"/>
      </w:pPr>
      <w:r>
        <w:rPr>
          <w:b/>
          <w:bCs/>
        </w:rPr>
        <w:t xml:space="preserve">Tier 2 -- the measurement layer. Guidance and triage, never a gate on its own.</w:t>
      </w:r>
      <w:r>
        <w:t xml:space="preserve"> </w:t>
      </w:r>
      <w:r>
        <w:t xml:space="preserve">Each of these is</w:t>
      </w:r>
      <w:r>
        <w:t xml:space="preserve"> </w:t>
      </w:r>
      <w:r>
        <w:t xml:space="preserve">a weak or gameable predictor in isolation, so they inform review; they do not certify anything.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What it asks</w:t>
            </w:r>
          </w:p>
        </w:tc>
        <w:tc>
          <w:tcPr/>
          <w:p>
            <w:pPr>
              <w:pStyle w:val="Compact"/>
            </w:pPr>
            <w:r>
              <w:t xml:space="preserve">Gate type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Test-signal proof</w:t>
            </w:r>
          </w:p>
        </w:tc>
        <w:tc>
          <w:tcPr/>
          <w:p>
            <w:pPr>
              <w:pStyle w:val="Compact"/>
            </w:pPr>
            <w:r>
              <w:t xml:space="preserve">Does mutation on changed code expose tests that assert little?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Coverage visibility</w:t>
            </w:r>
          </w:p>
        </w:tc>
        <w:tc>
          <w:tcPr/>
          <w:p>
            <w:pPr>
              <w:pStyle w:val="Compact"/>
            </w:pPr>
            <w:r>
              <w:t xml:space="preserve">Is coverage reported on the changed lines, as guidance, never as a repository percentage gate?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Duplication and reuse</w:t>
            </w:r>
          </w:p>
        </w:tc>
        <w:tc>
          <w:tcPr/>
          <w:p>
            <w:pPr>
              <w:pStyle w:val="Compact"/>
            </w:pPr>
            <w:r>
              <w:t xml:space="preserve">Is new copy-paste flagged on the diff, with justified parity whitelisted?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Lint breadth</w:t>
            </w:r>
          </w:p>
        </w:tc>
        <w:tc>
          <w:tcPr/>
          <w:p>
            <w:pPr>
              <w:pStyle w:val="Compact"/>
            </w:pPr>
            <w:r>
              <w:t xml:space="preserve">Is a broad static-analysis ruleset enforced, from a clean baseline?</w:t>
            </w:r>
          </w:p>
        </w:tc>
        <w:tc>
          <w:tcPr/>
          <w:p>
            <w:pPr>
              <w:pStyle w:val="Compact"/>
            </w:pPr>
            <w:r>
              <w:t xml:space="preserve">Deterministic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Complexity triage</w:t>
            </w:r>
          </w:p>
        </w:tc>
        <w:tc>
          <w:tcPr/>
          <w:p>
            <w:pPr>
              <w:pStyle w:val="Compact"/>
            </w:pPr>
            <w:r>
              <w:t xml:space="preserve">Are genuinely large units surfaced for a human to look at?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  <w:tc>
          <w:tcPr/>
          <w:p>
            <w:pPr>
              <w:pStyle w:val="Compact"/>
            </w:pPr>
            <w:r>
              <w:t xml:space="preserve">Here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A codebase is judged by the</w:t>
      </w:r>
      <w:r>
        <w:t xml:space="preserve"> </w:t>
      </w:r>
      <w:r>
        <w:rPr>
          <w:b/>
          <w:bCs/>
        </w:rPr>
        <w:t xml:space="preserve">composite</w:t>
      </w:r>
      <w:r>
        <w:t xml:space="preserve">, never by any single row. Tier 1 decides;</w:t>
      </w:r>
      <w:r>
        <w:t xml:space="preserve"> </w:t>
      </w:r>
      <w:r>
        <w:t xml:space="preserve">Tier 2 starts conversations. A strong Tier 2 does not compensate for a missing Tier 1 row, and a</w:t>
      </w:r>
      <w:r>
        <w:t xml:space="preserve"> </w:t>
      </w:r>
      <w:r>
        <w:t xml:space="preserve">weak Tier 2 row is not a finding on its own.</w:t>
      </w:r>
    </w:p>
    <w:bookmarkStart w:id="20" w:name="the-anti-metric-rule-hard"/>
    <w:p>
      <w:pPr>
        <w:pStyle w:val="Heading3"/>
      </w:pPr>
      <w:r>
        <w:t xml:space="preserve">The anti-metric rule (hard)</w:t>
      </w:r>
    </w:p>
    <w:p>
      <w:pPr>
        <w:pStyle w:val="FirstParagraph"/>
      </w:pPr>
      <w:r>
        <w:rPr>
          <w:b/>
          <w:bCs/>
        </w:rPr>
        <w:t xml:space="preserve">Do not certify quality -- or fail a build -- on any single one of:</w:t>
      </w:r>
      <w:r>
        <w:t xml:space="preserve"> </w:t>
      </w:r>
      <w:r>
        <w:t xml:space="preserve">line-coverage percentage,</w:t>
      </w:r>
      <w:r>
        <w:t xml:space="preserve"> </w:t>
      </w:r>
      <w:r>
        <w:t xml:space="preserve">lines of code, raw or vendor "cognitive" cyclomatic complexity, or static-analysis severity counts.</w:t>
      </w:r>
      <w:r>
        <w:t xml:space="preserve"> </w:t>
      </w:r>
      <w:r>
        <w:t xml:space="preserve">Each may be surfaced as advisory triage a human arbitrates; none may ever be the quality gate.</w:t>
      </w:r>
    </w:p>
    <w:p>
      <w:pPr>
        <w:pStyle w:val="BodyText"/>
      </w:pPr>
      <w:r>
        <w:t xml:space="preserve">This is the quality-side analogue of</w:t>
      </w:r>
      <w:r>
        <w:t xml:space="preserve"> </w:t>
      </w:r>
      <w:r>
        <w:rPr>
          <w:i/>
          <w:iCs/>
        </w:rPr>
        <w:t xml:space="preserve">gates are deterministic checks, never ask the model to be</w:t>
      </w:r>
      <w:r>
        <w:rPr>
          <w:i/>
          <w:iCs/>
        </w:rPr>
        <w:t xml:space="preserve"> </w:t>
      </w:r>
      <w:r>
        <w:rPr>
          <w:i/>
          <w:iCs/>
        </w:rPr>
        <w:t xml:space="preserve">secure</w:t>
      </w:r>
      <w:r>
        <w:t xml:space="preserve">:</w:t>
      </w:r>
      <w:r>
        <w:t xml:space="preserve"> </w:t>
      </w:r>
      <w:r>
        <w:rPr>
          <w:b/>
          <w:bCs/>
        </w:rPr>
        <w:t xml:space="preserve">a scoreboard is never the verdict.</w:t>
      </w:r>
    </w:p>
    <w:p>
      <w:pPr>
        <w:pStyle w:val="BodyText"/>
      </w:pPr>
      <w:r>
        <w:t xml:space="preserve">The evidence table behind this rule already lives on this site, with each row tagged [external]:</w:t>
      </w:r>
      <w:r>
        <w:t xml:space="preserve"> </w:t>
      </w:r>
      <w:hyperlink r:id="rId18">
        <w:r>
          <w:rPr>
            <w:rStyle w:val="Hyperlink"/>
          </w:rPr>
          <w:t xml:space="preserve">Never gate on a single gameable number</w:t>
        </w:r>
      </w:hyperlink>
      <w:r>
        <w:t xml:space="preserve">.</w:t>
      </w:r>
      <w:r>
        <w:t xml:space="preserve"> </w:t>
      </w:r>
      <w:r>
        <w:t xml:space="preserve">So does the rule on judging tests:</w:t>
      </w:r>
      <w:r>
        <w:t xml:space="preserve"> </w:t>
      </w:r>
      <w:hyperlink r:id="rId19">
        <w:r>
          <w:rPr>
            <w:rStyle w:val="Hyperlink"/>
          </w:rPr>
          <w:t xml:space="preserve">Judge tests by their assertions, not their presence or their coverage</w:t>
        </w:r>
      </w:hyperlink>
      <w:r>
        <w:t xml:space="preserve">.</w:t>
      </w:r>
      <w:r>
        <w:t xml:space="preserve"> </w:t>
      </w:r>
      <w:r>
        <w:t xml:space="preserve">The rule and its reasoning stay on that page. What follows is the bibliography behind it -- the part</w:t>
      </w:r>
      <w:r>
        <w:t xml:space="preserve"> </w:t>
      </w:r>
      <w:r>
        <w:t xml:space="preserve">you need when somebody who disagrees asks where a number came from -- with each claim restated only</w:t>
      </w:r>
      <w:r>
        <w:t xml:space="preserve"> </w:t>
      </w:r>
      <w:r>
        <w:t xml:space="preserve">far enough to attach its citation to it.</w:t>
      </w:r>
    </w:p>
    <w:bookmarkEnd w:id="20"/>
    <w:bookmarkStart w:id="22" w:name="X668fb8c38305a615bf1d327787eeaa82b7e1944"/>
    <w:p>
      <w:pPr>
        <w:pStyle w:val="Heading3"/>
      </w:pPr>
      <w:r>
        <w:t xml:space="preserve">Delivery-outcome metrics are a context caveat, not a signal</w:t>
      </w:r>
    </w:p>
    <w:p>
      <w:pPr>
        <w:pStyle w:val="FirstParagraph"/>
      </w:pPr>
      <w:r>
        <w:t xml:space="preserve">Keep change-failure rate, lead time and their siblings out of a code-quality rubric. They measure</w:t>
      </w:r>
      <w:r>
        <w:t xml:space="preserve"> </w:t>
      </w:r>
      <w:r>
        <w:t xml:space="preserve">delivery, not whether a given change is filler -- a different altitude from the artefact signals</w:t>
      </w:r>
      <w:r>
        <w:t xml:space="preserve"> </w:t>
      </w:r>
      <w:r>
        <w:t xml:space="preserve">above -- and the evidence for the machine-authorship link is weaker than for the metric-validity</w:t>
      </w:r>
      <w:r>
        <w:t xml:space="preserve"> </w:t>
      </w:r>
      <w:r>
        <w:t xml:space="preserve">findings. The actionable part is already covered by small batches and</w:t>
      </w:r>
      <w:r>
        <w:t xml:space="preserve"> </w:t>
      </w:r>
      <w:hyperlink r:id="rId21">
        <w:r>
          <w:rPr>
            <w:rStyle w:val="Hyperlink"/>
          </w:rPr>
          <w:t xml:space="preserve">One coherent layer per commit</w:t>
        </w:r>
      </w:hyperlink>
      <w:r>
        <w:t xml:space="preserve">. Record the</w:t>
      </w:r>
      <w:r>
        <w:t xml:space="preserve"> </w:t>
      </w:r>
      <w:r>
        <w:t xml:space="preserve">concern as a failure mode with a remedy; do not promote it to a peer signal.</w:t>
      </w:r>
    </w:p>
    <w:p>
      <w:pPr>
        <w:pStyle w:val="BodyText"/>
      </w:pPr>
      <w:r>
        <w:t xml:space="preserve">The reason generalises:</w:t>
      </w:r>
      <w:r>
        <w:t xml:space="preserve"> </w:t>
      </w:r>
      <w:r>
        <w:rPr>
          <w:b/>
          <w:bCs/>
        </w:rPr>
        <w:t xml:space="preserve">when someone proposes adding an outcome metric to an artefact rubric,</w:t>
      </w:r>
      <w:r>
        <w:rPr>
          <w:b/>
          <w:bCs/>
        </w:rPr>
        <w:t xml:space="preserve"> </w:t>
      </w:r>
      <w:r>
        <w:rPr>
          <w:b/>
          <w:bCs/>
        </w:rPr>
        <w:t xml:space="preserve">the objection is altitude, not distaste.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X641036d7ccef56f59522485bce101f37c7c47f3"/>
    <w:p>
      <w:pPr>
        <w:pStyle w:val="Heading2"/>
      </w:pPr>
      <w:r>
        <w:t xml:space="preserve">The evidence, and the hedge each citation must carry</w:t>
      </w:r>
    </w:p>
    <w:p>
      <w:pPr>
        <w:pStyle w:val="FirstParagraph"/>
      </w:pPr>
      <w:r>
        <w:t xml:space="preserve">Every row is</w:t>
      </w:r>
      <w:r>
        <w:t xml:space="preserve"> </w:t>
      </w:r>
      <w:r>
        <w:rPr>
          <w:b/>
          <w:bCs/>
        </w:rPr>
        <w:t xml:space="preserve">[external]</w:t>
      </w:r>
      <w:r>
        <w:t xml:space="preserve">. Attach the limitation to the claim at the point of use, never in a</w:t>
      </w:r>
      <w:r>
        <w:t xml:space="preserve"> </w:t>
      </w:r>
      <w:r>
        <w:t xml:space="preserve">footnote a reader can skip.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What the evidence says</w:t>
            </w:r>
          </w:p>
        </w:tc>
        <w:tc>
          <w:tcPr/>
          <w:p>
            <w:pPr>
              <w:pStyle w:val="Compact"/>
            </w:pPr>
            <w:r>
              <w:t xml:space="preserve">Citation</w:t>
            </w:r>
          </w:p>
        </w:tc>
        <w:tc>
          <w:tcPr/>
          <w:p>
            <w:pPr>
              <w:pStyle w:val="Compact"/>
            </w:pPr>
            <w:r>
              <w:t xml:space="preserve">The hedge that travels with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cyclomatic complexity is a weak defect predictor</w:t>
            </w:r>
          </w:p>
        </w:tc>
        <w:tc>
          <w:tcPr/>
          <w:p>
            <w:pPr>
              <w:pStyle w:val="Compact"/>
            </w:pPr>
            <w:r>
              <w:t xml:space="preserve">Correlation with real bugs of about</w:t>
            </w:r>
            <w:r>
              <w:t xml:space="preserve"> </w:t>
            </w:r>
            <w:r>
              <w:rPr>
                <w:b/>
                <w:bCs/>
              </w:rPr>
              <w:t xml:space="preserve">0.06</w:t>
            </w:r>
            <w:r>
              <w:t xml:space="preserve"> </w:t>
            </w:r>
            <w:r>
              <w:t xml:space="preserve">(Kendall); "adds little if any" beyond executable-line counts</w:t>
            </w:r>
          </w:p>
        </w:tc>
        <w:tc>
          <w:tcPr/>
          <w:p>
            <w:pPr>
              <w:pStyle w:val="Compact"/>
            </w:pPr>
            <w:r>
              <w:t xml:space="preserve">Chen, C. (2019).</w:t>
            </w:r>
            <w:r>
              <w:t xml:space="preserve"> </w:t>
            </w:r>
            <w:r>
              <w:rPr>
                <w:i/>
                <w:iCs/>
              </w:rPr>
              <w:t xml:space="preserve">An Empirical Investigation of Correlation between Code Complexity and Bugs.</w:t>
            </w:r>
            <w:r>
              <w:t xml:space="preserve"> </w:t>
            </w:r>
            <w:r>
              <w:t xml:space="preserve">arXiv:1912.01142 [cs.SE].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https://arxiv.org/abs/1912.01142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Argues against a single-number gate, not against measuring. Complexity is still a useful local triage smell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"cognitive complexity" adds nothing</w:t>
            </w:r>
          </w:p>
        </w:tc>
        <w:tc>
          <w:tcPr/>
          <w:p>
            <w:pPr>
              <w:pStyle w:val="Compact"/>
            </w:pPr>
            <w:r>
              <w:t xml:space="preserve">No incremental predictive value over traditional measures; the peer-reviewed evaluation concludes it "does not appear to fulfill the promise"</w:t>
            </w:r>
          </w:p>
        </w:tc>
        <w:tc>
          <w:tcPr/>
          <w:p>
            <w:pPr>
              <w:pStyle w:val="Compact"/>
            </w:pPr>
            <w:r>
              <w:t xml:space="preserve">Lavazza, L., Abualkishik, A. Z., Liu, G., &amp; Morasca, S. (2023).</w:t>
            </w:r>
            <w:r>
              <w:t xml:space="preserve"> </w:t>
            </w:r>
            <w:r>
              <w:rPr>
                <w:i/>
                <w:iCs/>
              </w:rPr>
              <w:t xml:space="preserve">An Empirical Evaluation of the "Cognitive Complexity" Measure as a Predictor of Code Understandability.</w:t>
            </w:r>
            <w:r>
              <w:t xml:space="preserve"> </w:t>
            </w:r>
            <w:r>
              <w:t xml:space="preserve">Journal of Systems and Software, 197, 111561.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https://doi.org/10.1016/j.jss.2022.111561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Replacing a cyclomatic gate with a cognitive one buys nothing. The finding is about predictive value, and says nothing about how often the measure is sold or adopted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Static-analysis severity counts are weak, inconsistent, sometimes inverted</w:t>
            </w:r>
          </w:p>
        </w:tc>
        <w:tc>
          <w:tcPr/>
          <w:p>
            <w:pPr>
              <w:pStyle w:val="Compact"/>
            </w:pPr>
            <w:r>
              <w:t xml:space="preserve">Across 33 large projects and roughly 27,000 faults, flagged "dirty" classes were no more fault-prone than clean ones</w:t>
            </w:r>
          </w:p>
        </w:tc>
        <w:tc>
          <w:tcPr/>
          <w:p>
            <w:pPr>
              <w:pStyle w:val="Compact"/>
            </w:pPr>
            <w:r>
              <w:t xml:space="preserve">Lenarduzzi, V., Saarimaki, N., &amp; Taibi, D. (2020).</w:t>
            </w:r>
            <w:r>
              <w:t xml:space="preserve"> </w:t>
            </w:r>
            <w:r>
              <w:rPr>
                <w:i/>
                <w:iCs/>
              </w:rPr>
              <w:t xml:space="preserve">Some SonarQube issues have a significant but small effect on faults and changes: A large-scale empirical study.</w:t>
            </w:r>
            <w:r>
              <w:t xml:space="preserve"> </w:t>
            </w:r>
            <w:r>
              <w:t xml:space="preserve">Journal of Systems and Software, 170, 110750.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https://arxiv.org/abs/1908.11590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Effects are small and sometimes inverted. Useful as a cheap filter; not a quality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score is a poor single number, but mutation testing is high-value guidance</w:t>
            </w:r>
          </w:p>
        </w:tc>
        <w:tc>
          <w:tcPr/>
          <w:p>
            <w:pPr>
              <w:pStyle w:val="Compact"/>
            </w:pPr>
            <w:r>
              <w:t xml:space="preserve">Mostly a test-suite-size artefact as a linear proxy; top-decile suites catch</w:t>
            </w:r>
            <w:r>
              <w:t xml:space="preserve"> </w:t>
            </w:r>
            <w:r>
              <w:rPr>
                <w:b/>
                <w:bCs/>
              </w:rPr>
              <w:t xml:space="preserve">8 to 46 percent</w:t>
            </w:r>
            <w:r>
              <w:t xml:space="preserve"> </w:t>
            </w:r>
            <w:r>
              <w:t xml:space="preserve">more real faults</w:t>
            </w:r>
          </w:p>
        </w:tc>
        <w:tc>
          <w:tcPr/>
          <w:p>
            <w:pPr>
              <w:pStyle w:val="Compact"/>
            </w:pPr>
            <w:r>
              <w:t xml:space="preserve">Papadakis, M., Shin, D., Yoo, S., &amp; Bae, D.-H. (2018).</w:t>
            </w:r>
            <w:r>
              <w:t xml:space="preserve"> </w:t>
            </w:r>
            <w:r>
              <w:rPr>
                <w:i/>
                <w:iCs/>
              </w:rPr>
              <w:t xml:space="preserve">Are Mutation Scores Correlated with Real Fault Detection? A Large Scale Empirical Study on the Relationship Between Mutants and Real Faults.</w:t>
            </w:r>
            <w:r>
              <w:t xml:space="preserve"> </w:t>
            </w:r>
            <w:r>
              <w:t xml:space="preserve">ICSE 2018.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https://doi.org/10.1145/3180155.3180183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Read the survivors; never publish the score as a grade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line coverage is where weak assertions hide</w:t>
            </w:r>
          </w:p>
        </w:tc>
        <w:tc>
          <w:tcPr/>
          <w:p>
            <w:pPr>
              <w:pStyle w:val="Compact"/>
            </w:pPr>
            <w:r>
              <w:t xml:space="preserve">Coverage is gameable: high coverage with weak assertions is the canonical hiding place, and line count measures size, not quality</w:t>
            </w:r>
          </w:p>
        </w:tc>
        <w:tc>
          <w:tcPr/>
          <w:p>
            <w:pPr>
              <w:pStyle w:val="Compact"/>
            </w:pPr>
            <w:r>
              <w:t xml:space="preserve">Corollary of the mutation and complexity findings above, not an independent study -- carry that hedge</w:t>
            </w:r>
          </w:p>
        </w:tc>
        <w:tc>
          <w:tcPr/>
          <w:p>
            <w:pPr>
              <w:pStyle w:val="Compact"/>
            </w:pPr>
            <w:r>
              <w:t xml:space="preserve">The replacement is diff-scoped visibility, not a repository 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Assisted authors write less secure code while feeling more confident</w:t>
            </w:r>
          </w:p>
        </w:tc>
        <w:tc>
          <w:tcPr/>
          <w:p>
            <w:pPr>
              <w:pStyle w:val="Compact"/>
            </w:pPr>
            <w:r>
              <w:t xml:space="preserve">A controlled study found assisted developers wrote less secure code yet were more confident it was secure</w:t>
            </w:r>
          </w:p>
        </w:tc>
        <w:tc>
          <w:tcPr/>
          <w:p>
            <w:pPr>
              <w:pStyle w:val="Compact"/>
            </w:pPr>
            <w:r>
              <w:t xml:space="preserve">Perry, N., Srivastava, M., Kumar, D., &amp; Boneh, D. (2023).</w:t>
            </w:r>
            <w:r>
              <w:t xml:space="preserve"> </w:t>
            </w:r>
            <w:r>
              <w:rPr>
                <w:i/>
                <w:iCs/>
              </w:rPr>
              <w:t xml:space="preserve">Do Users Write More Insecure Code with AI Assistants?</w:t>
            </w:r>
            <w:r>
              <w:t xml:space="preserve"> </w:t>
            </w:r>
            <w:r>
              <w:t xml:space="preserve">ACM CCS 2023. arXiv:2211.03622.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https://arxiv.org/abs/2211.03622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Model-era-specific: the study used a 2022-generation model. Frontier models plausibly perform better -- re-baseline rather than quoting it as a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Copy-instead-of-abstract is a measurable trend</w:t>
            </w:r>
          </w:p>
        </w:tc>
        <w:tc>
          <w:tcPr/>
          <w:p>
            <w:pPr>
              <w:pStyle w:val="Compact"/>
            </w:pPr>
            <w:r>
              <w:t xml:space="preserve">2024 was the first year copy-pasted lines (12.3 percent) exceeded "moved" or refactored lines (9.5 percent) in one commercial telemetry set</w:t>
            </w:r>
          </w:p>
        </w:tc>
        <w:tc>
          <w:tcPr/>
          <w:p>
            <w:pPr>
              <w:pStyle w:val="Compact"/>
            </w:pPr>
            <w:r>
              <w:t xml:space="preserve">GitClear (2025).</w:t>
            </w:r>
            <w:r>
              <w:t xml:space="preserve"> </w:t>
            </w:r>
            <w:r>
              <w:rPr>
                <w:i/>
                <w:iCs/>
              </w:rPr>
              <w:t xml:space="preserve">AI Copilot Code Quality 2025.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https://www.gitclear.com/ai_assistant_code_quality_2025_research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Descriptively solid; the machine-authorship attribution is correlational, from a commercial vendor using a proprietary "moved" heuristic, and confounded by hiring cycles. Treat the trend as real and the attribution as interpretation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 stability moved with adoption</w:t>
            </w:r>
          </w:p>
        </w:tc>
        <w:tc>
          <w:tcPr/>
          <w:p>
            <w:pPr>
              <w:pStyle w:val="Compact"/>
            </w:pPr>
            <w:r>
              <w:t xml:space="preserve">Adoption associated with roughly 7.2 percent lower delivery stability per 25 percent adoption</w:t>
            </w:r>
          </w:p>
        </w:tc>
        <w:tc>
          <w:tcPr/>
          <w:p>
            <w:pPr>
              <w:pStyle w:val="Compact"/>
            </w:pPr>
            <w:r>
              <w:t xml:space="preserve">Google Cloud / DORA (2024).</w:t>
            </w:r>
            <w:r>
              <w:t xml:space="preserve"> </w:t>
            </w:r>
            <w:r>
              <w:rPr>
                <w:i/>
                <w:iCs/>
              </w:rPr>
              <w:t xml:space="preserve">Accelerate State of DevOps Report 2024.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https://dora.dev/research/2024/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Associational, and partly revised the following year. This is why it is a context caveat and not a signal</w:t>
            </w:r>
          </w:p>
        </w:tc>
      </w:tr>
    </w:tbl>
    <w:p>
      <w:pPr>
        <w:pStyle w:val="BodyText"/>
      </w:pPr>
      <w:r>
        <w:t xml:space="preserve">The published-research figure on package hallucination, and the controlled trial on developer</w:t>
      </w:r>
      <w:r>
        <w:t xml:space="preserve"> </w:t>
      </w:r>
      <w:r>
        <w:t xml:space="preserve">speed, are already carried on this site with their hedges. Do not restate either; link to</w:t>
      </w:r>
      <w:r>
        <w:t xml:space="preserve"> </w:t>
      </w:r>
      <w:hyperlink r:id="rId31">
        <w:r>
          <w:rPr>
            <w:rStyle w:val="Hyperlink"/>
          </w:rPr>
          <w:t xml:space="preserve">Verify a dependency before adding it, and know what verification cannot see</w:t>
        </w:r>
      </w:hyperlink>
      <w:r>
        <w:t xml:space="preserve"> </w:t>
      </w:r>
      <w:r>
        <w:t xml:space="preserve">and to the section on not claiming an unmeasured gain.</w:t>
      </w:r>
    </w:p>
    <w:bookmarkStart w:id="32" w:name="the-six-caveats-as-one-carried-set"/>
    <w:p>
      <w:pPr>
        <w:pStyle w:val="Heading3"/>
      </w:pPr>
      <w:r>
        <w:t xml:space="preserve">The six caveats, as one carried set</w:t>
      </w:r>
    </w:p>
    <w:p>
      <w:pPr>
        <w:pStyle w:val="Compact"/>
        <w:numPr>
          <w:ilvl w:val="0"/>
          <w:numId w:val="1004"/>
        </w:numPr>
      </w:pPr>
      <w:r>
        <w:t xml:space="preserve">The metric-invalidation findings are robust peer-reviewed results, but they are</w:t>
      </w:r>
      <w:r>
        <w:t xml:space="preserve"> </w:t>
      </w:r>
      <w:r>
        <w:t xml:space="preserve">"this-metric-is-weak-</w:t>
      </w:r>
      <w:r>
        <w:rPr>
          <w:b/>
          <w:bCs/>
        </w:rPr>
        <w:t xml:space="preserve">alone</w:t>
      </w:r>
      <w:r>
        <w:t xml:space="preserve">" results. They argue against single-number gates, not against</w:t>
      </w:r>
      <w:r>
        <w:t xml:space="preserve"> </w:t>
      </w:r>
      <w:r>
        <w:t xml:space="preserve">measurement.</w:t>
      </w:r>
    </w:p>
    <w:p>
      <w:pPr>
        <w:pStyle w:val="Compact"/>
        <w:numPr>
          <w:ilvl w:val="0"/>
          <w:numId w:val="1004"/>
        </w:numPr>
      </w:pPr>
      <w:r>
        <w:t xml:space="preserve">The duplication trend is descriptively solid; the causal attribution is correlational,</w:t>
      </w:r>
      <w:r>
        <w:t xml:space="preserve"> </w:t>
      </w:r>
      <w:r>
        <w:t xml:space="preserve">vendor-sourced and confounded.</w:t>
      </w:r>
    </w:p>
    <w:p>
      <w:pPr>
        <w:pStyle w:val="Compact"/>
        <w:numPr>
          <w:ilvl w:val="0"/>
          <w:numId w:val="1004"/>
        </w:numPr>
      </w:pPr>
      <w:r>
        <w:t xml:space="preserve">Several findings about machine-authored code are model-era-specific. Re-baseline them rather</w:t>
      </w:r>
      <w:r>
        <w:t xml:space="preserve"> </w:t>
      </w:r>
      <w:r>
        <w:t xml:space="preserve">than quoting them as constants.</w:t>
      </w:r>
    </w:p>
    <w:p>
      <w:pPr>
        <w:pStyle w:val="Compact"/>
        <w:numPr>
          <w:ilvl w:val="0"/>
          <w:numId w:val="1004"/>
        </w:numPr>
      </w:pPr>
      <w:r>
        <w:t xml:space="preserve">A share-of-distinct-items figure is not a per-occurrence rate. The per-occurrence rate is far</w:t>
      </w:r>
      <w:r>
        <w:t xml:space="preserve"> </w:t>
      </w:r>
      <w:r>
        <w:t xml:space="preserve">lower, because the common cases are never the failing ones.</w:t>
      </w:r>
    </w:p>
    <w:p>
      <w:pPr>
        <w:pStyle w:val="Compact"/>
        <w:numPr>
          <w:ilvl w:val="0"/>
          <w:numId w:val="1004"/>
        </w:numPr>
      </w:pPr>
      <w:r>
        <w:t xml:space="preserve">The delivery-outcome finding is associational and was partly revised the following year.</w:t>
      </w:r>
    </w:p>
    <w:p>
      <w:pPr>
        <w:pStyle w:val="Compact"/>
        <w:numPr>
          <w:ilvl w:val="0"/>
          <w:numId w:val="1004"/>
        </w:numPr>
      </w:pPr>
      <w:r>
        <w:t xml:space="preserve">No source supplies a validated single-metric certification threshold.</w:t>
      </w:r>
    </w:p>
    <w:bookmarkEnd w:id="32"/>
    <w:bookmarkStart w:id="33" w:name="Xa40af3e358f88c7e758605cde008ec4497fb3c9"/>
    <w:p>
      <w:pPr>
        <w:pStyle w:val="Heading3"/>
      </w:pPr>
      <w:r>
        <w:t xml:space="preserve">What was refuted, published next to what survived</w:t>
      </w:r>
    </w:p>
    <w:p>
      <w:pPr>
        <w:pStyle w:val="FirstParagraph"/>
      </w:pPr>
      <w:r>
        <w:t xml:space="preserve">These widely circulated figures about machine-authored code were checked and dropped. Naming them is</w:t>
      </w:r>
      <w:r>
        <w:t xml:space="preserve"> </w:t>
      </w:r>
      <w:r>
        <w:t xml:space="preserve">part of the basis, because a reader can then check that the filter actually ran.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"About 40 percent of assistant-generated programs contain security vulnerabilities."</w:t>
      </w:r>
      <w:r>
        <w:t xml:space="preserve"> </w:t>
      </w:r>
      <w:r>
        <w:t xml:space="preserve">An</w:t>
      </w:r>
      <w:r>
        <w:t xml:space="preserve"> </w:t>
      </w:r>
      <w:r>
        <w:t xml:space="preserve">over-simplified reading of a real study (Pearce et al.,</w:t>
      </w:r>
      <w:r>
        <w:t xml:space="preserve"> </w:t>
      </w:r>
      <w:r>
        <w:rPr>
          <w:i/>
          <w:iCs/>
        </w:rPr>
        <w:t xml:space="preserve">Asleep at the Keyboard</w:t>
      </w:r>
      <w:r>
        <w:t xml:space="preserve">, IEEE S&amp;P 2022,</w:t>
      </w:r>
      <w:r>
        <w:t xml:space="preserve"> </w:t>
      </w:r>
      <w:r>
        <w:t xml:space="preserve">arXiv:2108.09293). The study stands; the headline framing does not.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"ten-fold surge in duplicate blocks" over two years.</w:t>
      </w:r>
      <w:r>
        <w:t xml:space="preserve"> </w:t>
      </w:r>
      <w:r>
        <w:t xml:space="preserve">Refuted unanimously.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"Copy-pasted lines rose 8.3 to 12.3 percent, about 48 percent."</w:t>
      </w:r>
      <w:r>
        <w:t xml:space="preserve"> </w:t>
      </w:r>
      <w:r>
        <w:t xml:space="preserve">Refuted unanimously.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"Moved operations fell 17 percent over two years."</w:t>
      </w:r>
      <w:r>
        <w:t xml:space="preserve"> </w:t>
      </w:r>
      <w:r>
        <w:t xml:space="preserve">Refuted unanimously; did not reconcile with</w:t>
      </w:r>
      <w:r>
        <w:t xml:space="preserve"> </w:t>
      </w:r>
      <w:r>
        <w:t xml:space="preserve">its own source.</w:t>
      </w:r>
    </w:p>
    <w:p>
      <w:pPr>
        <w:pStyle w:val="FirstParagraph"/>
      </w:pPr>
      <w:r>
        <w:t xml:space="preserve">Because the refuted claims came mostly from the trend-and-telemetry angle -- vendor material and</w:t>
      </w:r>
      <w:r>
        <w:t xml:space="preserve"> </w:t>
      </w:r>
      <w:r>
        <w:t xml:space="preserve">secondary blogs -- the rubric leans hardest on the peer-reviewed metric-validity studies and treats</w:t>
      </w:r>
      <w:r>
        <w:t xml:space="preserve"> </w:t>
      </w:r>
      <w:r>
        <w:t xml:space="preserve">the trend data as caveated context.</w:t>
      </w:r>
    </w:p>
    <w:bookmarkEnd w:id="33"/>
    <w:bookmarkStart w:id="35" w:name="X6c280cc635610efa1abd090d5319aee416f468b"/>
    <w:p>
      <w:pPr>
        <w:pStyle w:val="Heading3"/>
      </w:pPr>
      <w:r>
        <w:t xml:space="preserve">How to derive a rubric so it survives challenge</w:t>
      </w:r>
    </w:p>
    <w:p>
      <w:pPr>
        <w:pStyle w:val="FirstParagraph"/>
      </w:pPr>
      <w:r>
        <w:t xml:space="preserve">The method matters more than this particular rubric, because you will need your own.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Decompose the question into distinct search angles</w:t>
      </w:r>
      <w:r>
        <w:t xml:space="preserve"> </w:t>
      </w:r>
      <w:r>
        <w:t xml:space="preserve">rather than one broad query: metric</w:t>
      </w:r>
      <w:r>
        <w:t xml:space="preserve"> </w:t>
      </w:r>
      <w:r>
        <w:t xml:space="preserve">validity; quality frameworks and delivery metrics; empirical trends; security and correctness</w:t>
      </w:r>
      <w:r>
        <w:t xml:space="preserve"> </w:t>
      </w:r>
      <w:r>
        <w:t xml:space="preserve">studies; practitioner controls.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Fan out in parallel</w:t>
      </w:r>
      <w:r>
        <w:t xml:space="preserve">, then put every load-bearing claim through</w:t>
      </w:r>
      <w:r>
        <w:t xml:space="preserve"> </w:t>
      </w:r>
      <w:r>
        <w:rPr>
          <w:b/>
          <w:bCs/>
        </w:rPr>
        <w:t xml:space="preserve">multi-reviewer refutation</w:t>
      </w:r>
      <w:r>
        <w:t xml:space="preserve"> </w:t>
      </w:r>
      <w:r>
        <w:t xml:space="preserve">where each reviewer tries to kill the claim and a majority of refutations does kill it. Only</w:t>
      </w:r>
      <w:r>
        <w:t xml:space="preserve"> </w:t>
      </w:r>
      <w:r>
        <w:t xml:space="preserve">survivors enter the rubric. In the pass behind this document, a few dozen sources produced a</w:t>
      </w:r>
      <w:r>
        <w:t xml:space="preserve"> </w:t>
      </w:r>
      <w:r>
        <w:t xml:space="preserve">large candidate set; every load-bearing claim went to three-vote adversarial verification, and</w:t>
      </w:r>
      <w:r>
        <w:t xml:space="preserve"> </w:t>
      </w:r>
      <w:r>
        <w:t xml:space="preserve">the ones that could be killed were killed. The survivors are the citation table above; the</w:t>
      </w:r>
      <w:r>
        <w:t xml:space="preserve"> </w:t>
      </w:r>
      <w:r>
        <w:t xml:space="preserve">casualties are listed below.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Anchor the structure to a recognised model</w:t>
      </w:r>
      <w:r>
        <w:t xml:space="preserve"> </w:t>
      </w:r>
      <w:r>
        <w:t xml:space="preserve">rather than inventing categories.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Score the reference project from a separate read-only audit</w:t>
      </w:r>
      <w:r>
        <w:t xml:space="preserve">, so the scorecard is evidence</w:t>
      </w:r>
      <w:r>
        <w:t xml:space="preserve"> </w:t>
      </w:r>
      <w:r>
        <w:t xml:space="preserve">rather than estimate.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Label every claim with its limitation as you carry it.</w:t>
      </w:r>
    </w:p>
    <w:p>
      <w:pPr>
        <w:pStyle w:val="FirstParagraph"/>
      </w:pPr>
      <w:r>
        <w:t xml:space="preserve">The general form of step 2 is already on this site as</w:t>
      </w:r>
      <w:r>
        <w:t xml:space="preserve"> </w:t>
      </w:r>
      <w:hyperlink r:id="rId34">
        <w:r>
          <w:rPr>
            <w:rStyle w:val="Hyperlink"/>
          </w:rPr>
          <w:t xml:space="preserve">Run a refutation pass on any number you are about to build a rule on</w:t>
        </w:r>
      </w:hyperlink>
      <w:r>
        <w:t xml:space="preserve">.</w:t>
      </w:r>
      <w:r>
        <w:t xml:space="preserve"> </w:t>
      </w:r>
      <w:r>
        <w:t xml:space="preserve">What is worth adding here is the payoff: the claims that could be killed were killed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publication, not after somebody challenged them, and that is what makes the survivors worth citing.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failure-mode-control-owner"/>
    <w:p>
      <w:pPr>
        <w:pStyle w:val="Heading2"/>
      </w:pPr>
      <w:r>
        <w:t xml:space="preserve">Failure mode, control, owner</w:t>
      </w:r>
    </w:p>
    <w:p>
      <w:pPr>
        <w:pStyle w:val="FirstParagraph"/>
      </w:pPr>
      <w:r>
        <w:t xml:space="preserve">Write the rubric as a map from a failure mode to the specific machine-enforced control that</w:t>
      </w:r>
      <w:r>
        <w:t xml:space="preserve"> </w:t>
      </w:r>
      <w:r>
        <w:t xml:space="preserve">neutralises it, and tag each control with which document owns it. Where a companion already owns a</w:t>
      </w:r>
      <w:r>
        <w:t xml:space="preserve"> </w:t>
      </w:r>
      <w:r>
        <w:t xml:space="preserve">control,</w:t>
      </w:r>
      <w:r>
        <w:t xml:space="preserve"> </w:t>
      </w:r>
      <w:r>
        <w:rPr>
          <w:b/>
          <w:bCs/>
        </w:rPr>
        <w:t xml:space="preserve">point at it and check only that it is present.</w:t>
      </w:r>
      <w:r>
        <w:t xml:space="preserve"> </w:t>
      </w:r>
      <w:r>
        <w:t xml:space="preserve">That leaves this document owning</w:t>
      </w:r>
      <w:r>
        <w:t xml:space="preserve"> </w:t>
      </w:r>
      <w:r>
        <w:t xml:space="preserve">exactly the gates nothing else carries.</w:t>
      </w:r>
    </w:p>
    <w:p>
      <w:pPr>
        <w:pStyle w:val="BodyText"/>
      </w:pPr>
      <w:r>
        <w:t xml:space="preserve">The failure modes worth mapping include at least these.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</w:pPr>
            <w:r>
              <w:t xml:space="preserve">The control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Insecure output plus author overconfidence</w:t>
            </w:r>
          </w:p>
        </w:tc>
        <w:tc>
          <w:tcPr/>
          <w:p>
            <w:pPr>
              <w:pStyle w:val="Compact"/>
            </w:pPr>
            <w:r>
              <w:t xml:space="preserve">A human review step that cannot be waived, plus blocking static analysis</w:t>
            </w:r>
          </w:p>
        </w:tc>
        <w:tc>
          <w:tcPr/>
          <w:p>
            <w:pPr>
              <w:pStyle w:val="Compact"/>
            </w:pPr>
            <w:r>
              <w:t xml:space="preserve">Your security standard. Checked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Hallucinated or typosquatted dependencies</w:t>
            </w:r>
          </w:p>
        </w:tc>
        <w:tc>
          <w:tcPr/>
          <w:p>
            <w:pPr>
              <w:pStyle w:val="Compact"/>
            </w:pPr>
            <w:r>
              <w:t xml:space="preserve">Verify-before-add, hash-locked pins, and an audit of every new import</w:t>
            </w:r>
          </w:p>
        </w:tc>
        <w:tc>
          <w:tcPr/>
          <w:p>
            <w:pPr>
              <w:pStyle w:val="Compact"/>
            </w:pPr>
            <w:r>
              <w:t xml:space="preserve">Your dependency standard. Checked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Silent duplication in place of reuse</w:t>
            </w:r>
          </w:p>
        </w:tc>
        <w:tc>
          <w:tcPr/>
          <w:p>
            <w:pPr>
              <w:pStyle w:val="Compact"/>
            </w:pPr>
            <w:r>
              <w:t xml:space="preserve">Clone detection on the diff, plus a "moved versus copied" review lens with justified parity whitelisted</w:t>
            </w:r>
          </w:p>
        </w:tc>
        <w:tc>
          <w:tcPr/>
          <w:p>
            <w:pPr>
              <w:pStyle w:val="Compact"/>
            </w:pPr>
            <w:r>
              <w:t xml:space="preserve">Here, signal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Shallow tests that assert little</w:t>
            </w:r>
          </w:p>
        </w:tc>
        <w:tc>
          <w:tcPr/>
          <w:p>
            <w:pPr>
              <w:pStyle w:val="Compact"/>
            </w:pPr>
            <w:r>
              <w:t xml:space="preserve">Mutation on changed code, as guidance a human reads</w:t>
            </w:r>
          </w:p>
        </w:tc>
        <w:tc>
          <w:tcPr/>
          <w:p>
            <w:pPr>
              <w:pStyle w:val="Compact"/>
            </w:pPr>
            <w:r>
              <w:t xml:space="preserve">Here, signal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Unbounded complexity and over-abstraction</w:t>
            </w:r>
          </w:p>
        </w:tc>
        <w:tc>
          <w:tcPr/>
          <w:p>
            <w:pPr>
              <w:pStyle w:val="Compact"/>
            </w:pPr>
            <w:r>
              <w:t xml:space="preserve">Advisory complexity triage: surface, never gate</w:t>
            </w:r>
          </w:p>
        </w:tc>
        <w:tc>
          <w:tcPr/>
          <w:p>
            <w:pPr>
              <w:pStyle w:val="Compact"/>
            </w:pPr>
            <w:r>
              <w:t xml:space="preserve">Here, signal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Conventions drifting across a codebase written in many parallel sessions</w:t>
            </w:r>
          </w:p>
        </w:tc>
        <w:tc>
          <w:tcPr/>
          <w:p>
            <w:pPr>
              <w:pStyle w:val="Compact"/>
            </w:pPr>
            <w:r>
              <w:t xml:space="preserve">A broad lint ruleset, plus the always-loaded project instruction file as the standing convention anchor</w:t>
            </w:r>
          </w:p>
        </w:tc>
        <w:tc>
          <w:tcPr/>
          <w:p>
            <w:pPr>
              <w:pStyle w:val="Compact"/>
            </w:pPr>
            <w:r>
              <w:t xml:space="preserve">Here, signal 10, plus your working agreement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control implemented on one path and missed on its siblings</w:t>
            </w:r>
          </w:p>
        </w:tc>
        <w:tc>
          <w:tcPr/>
          <w:p>
            <w:pPr>
              <w:pStyle w:val="Compact"/>
            </w:pPr>
            <w:r>
              <w:t xml:space="preserve">Enumerate sibling paths for every control and encode the enumeration as one deterministic check where feasible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Enumerate sibling paths for every control</w:t>
              </w:r>
            </w:hyperlink>
            <w:r>
              <w:t xml:space="preserve">. Here, this is what signal 6 exists to catch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 mistaken for delivered quality</w:t>
            </w:r>
          </w:p>
        </w:tc>
        <w:tc>
          <w:tcPr/>
          <w:p>
            <w:pPr>
              <w:pStyle w:val="Compact"/>
            </w:pPr>
            <w:r>
              <w:t xml:space="preserve">Small batches, one coherent layer per change</w:t>
            </w:r>
          </w:p>
        </w:tc>
        <w:tc>
          <w:tcPr/>
          <w:p>
            <w:pPr>
              <w:pStyle w:val="Compact"/>
            </w:pPr>
            <w:r>
              <w:t xml:space="preserve">Your working agreement. A context caveat, not a signal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When a new control is proposed, ask which failure mode it neutralises. If the answer is</w:t>
      </w:r>
      <w:r>
        <w:t xml:space="preserve"> </w:t>
      </w:r>
      <w:r>
        <w:t xml:space="preserve">none, it is decoration. When a control is missing, the owner tag tells you which document to fix.</w:t>
      </w:r>
    </w:p>
    <w:p>
      <w:r>
        <w:pict>
          <v:rect style="width:0;height:1.5pt" o:hralign="center" o:hrstd="t" o:hr="t"/>
        </w:pict>
      </w:r>
    </w:p>
    <w:bookmarkEnd w:id="38"/>
    <w:bookmarkStart w:id="52" w:name="X4873c7bf06e912f32b8544c12adf4f299d0d8a2"/>
    <w:p>
      <w:pPr>
        <w:pStyle w:val="Heading2"/>
      </w:pPr>
      <w:r>
        <w:t xml:space="preserve">Where each gate belongs: the local loop, the pipeline, or both</w:t>
      </w:r>
    </w:p>
    <w:p>
      <w:pPr>
        <w:pStyle w:val="FirstParagraph"/>
      </w:pPr>
      <w:r>
        <w:t xml:space="preserve">Place a measurement gate by</w:t>
      </w:r>
      <w:r>
        <w:t xml:space="preserve"> </w:t>
      </w:r>
      <w:r>
        <w:rPr>
          <w:b/>
          <w:bCs/>
        </w:rPr>
        <w:t xml:space="preserve">cost</w:t>
      </w:r>
      <w:r>
        <w:t xml:space="preserve">, not by importance.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 class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Placement</w:t>
            </w:r>
          </w:p>
        </w:tc>
        <w:tc>
          <w:tcPr/>
          <w:p>
            <w:pPr>
              <w:pStyle w:val="Compact"/>
            </w:pPr>
            <w:r>
              <w:t xml:space="preserve">Blocking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 triage</w:t>
            </w:r>
          </w:p>
        </w:tc>
        <w:tc>
          <w:tcPr/>
          <w:p>
            <w:pPr>
              <w:pStyle w:val="Compac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  <w:r>
              <w:t xml:space="preserve">Local hook and pipeline</w:t>
            </w:r>
          </w:p>
        </w:tc>
        <w:tc>
          <w:tcPr/>
          <w:p>
            <w:pPr>
              <w:pStyle w:val="Compact"/>
            </w:pPr>
            <w:r>
              <w:t xml:space="preserve">Advisory only, never a hard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 lint ruleset</w:t>
            </w:r>
          </w:p>
        </w:tc>
        <w:tc>
          <w:tcPr/>
          <w:p>
            <w:pPr>
              <w:pStyle w:val="Compac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  <w:r>
              <w:t xml:space="preserve">Local hook and the required pipeline leg</w:t>
            </w:r>
          </w:p>
        </w:tc>
        <w:tc>
          <w:tcPr/>
          <w:p>
            <w:pPr>
              <w:pStyle w:val="Compact"/>
            </w:pPr>
            <w:r>
              <w:t xml:space="preserve">Blocking, from a clean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Clone detection</w:t>
            </w:r>
          </w:p>
        </w:tc>
        <w:tc>
          <w:tcPr/>
          <w:p>
            <w:pPr>
              <w:pStyle w:val="Compact"/>
            </w:pPr>
            <w:r>
              <w:t xml:space="preserve">Cheap</w:t>
            </w:r>
          </w:p>
        </w:tc>
        <w:tc>
          <w:tcPr/>
          <w:p>
            <w:pPr>
              <w:pStyle w:val="Compact"/>
            </w:pPr>
            <w:r>
              <w:t xml:space="preserve">Pipeline advisory job</w:t>
            </w:r>
          </w:p>
        </w:tc>
        <w:tc>
          <w:tcPr/>
          <w:p>
            <w:pPr>
              <w:pStyle w:val="Compact"/>
            </w:pPr>
            <w:r>
              <w:t xml:space="preserve">Advisory: a finding, not a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Diff-scoped coverage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Pipeline, reporting on changed lines</w:t>
            </w:r>
          </w:p>
        </w:tc>
        <w:tc>
          <w:tcPr/>
          <w:p>
            <w:pPr>
              <w:pStyle w:val="Compact"/>
            </w:pPr>
            <w:r>
              <w:t xml:space="preserve">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on changed code</w:t>
            </w:r>
          </w:p>
        </w:tc>
        <w:tc>
          <w:tcPr/>
          <w:p>
            <w:pPr>
              <w:pStyle w:val="Compact"/>
            </w:pPr>
            <w:r>
              <w:t xml:space="preserve">Depends entirely on scope and on the tool actually running</w:t>
            </w:r>
          </w:p>
        </w:tc>
        <w:tc>
          <w:tcPr/>
          <w:p>
            <w:pPr>
              <w:pStyle w:val="Compact"/>
            </w:pPr>
            <w:r>
              <w:t xml:space="preserve">Pipeline, plus an opt-in local command</w:t>
            </w:r>
          </w:p>
        </w:tc>
        <w:tc>
          <w:tcPr/>
          <w:p>
            <w:pPr>
              <w:pStyle w:val="Compact"/>
            </w:pPr>
            <w:r>
              <w:t xml:space="preserve">Advisory guidance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Cheap checks run in both places. Expensive, diff-scoped analysis is pipeline-first because</w:t>
      </w:r>
      <w:r>
        <w:t xml:space="preserve"> </w:t>
      </w:r>
      <w:r>
        <w:t xml:space="preserve">it is too slow for the inner loop -- but each one must also be exposed as an opt-in local command a</w:t>
      </w:r>
      <w:r>
        <w:t xml:space="preserve"> </w:t>
      </w:r>
      <w:r>
        <w:t xml:space="preserve">maintainer can run on demand.</w:t>
      </w:r>
      <w:r>
        <w:t xml:space="preserve"> </w:t>
      </w:r>
      <w:r>
        <w:rPr>
          <w:b/>
          <w:bCs/>
        </w:rPr>
        <w:t xml:space="preserve">The pipeline is authoritative in every case</w:t>
      </w:r>
      <w:r>
        <w:t xml:space="preserve">; local runs exist for</w:t>
      </w:r>
      <w:r>
        <w:t xml:space="preserve"> </w:t>
      </w:r>
      <w:r>
        <w:t xml:space="preserve">fast feedback. The mechanics of keeping those two invocations identical are already published:</w:t>
      </w:r>
      <w:r>
        <w:t xml:space="preserve"> </w:t>
      </w:r>
      <w:hyperlink r:id="rId39">
        <w:r>
          <w:rPr>
            <w:rStyle w:val="Hyperlink"/>
          </w:rPr>
          <w:t xml:space="preserve">One gate command, three call sites</w:t>
        </w:r>
      </w:hyperlink>
      <w:r>
        <w:t xml:space="preserve">.</w:t>
      </w:r>
    </w:p>
    <w:bookmarkStart w:id="40" w:name="review-tools-that-apply-their-own-edits"/>
    <w:p>
      <w:pPr>
        <w:pStyle w:val="Heading3"/>
      </w:pPr>
      <w:r>
        <w:t xml:space="preserve">Review tools that apply their own edits</w:t>
      </w:r>
    </w:p>
    <w:p>
      <w:pPr>
        <w:pStyle w:val="FirstParagraph"/>
      </w:pPr>
      <w:r>
        <w:t xml:space="preserve">Some review tools report findings for a person to arbitrate. Others apply their fixes directly. That</w:t>
      </w:r>
      <w:r>
        <w:t xml:space="preserve"> </w:t>
      </w:r>
      <w:r>
        <w:t xml:space="preserve">difference is not a matter of taste -- it decides where the tool belongs in your sequence, and</w:t>
      </w:r>
      <w:r>
        <w:t xml:space="preserve"> </w:t>
      </w:r>
      <w:r>
        <w:t xml:space="preserve">whether it is allowed to count for anything.</w:t>
      </w:r>
    </w:p>
    <w:p>
      <w:pPr>
        <w:pStyle w:val="BodyText"/>
      </w:pPr>
      <w:r>
        <w:rPr>
          <w:b/>
          <w:bCs/>
        </w:rPr>
        <w:t xml:space="preserve">Run an applying tool before the local check quartet, never after.</w:t>
      </w:r>
      <w:r>
        <w:t xml:space="preserve"> </w:t>
      </w:r>
      <w:r>
        <w:t xml:space="preserve">A tool that rewrites code and</w:t>
      </w:r>
      <w:r>
        <w:t xml:space="preserve"> </w:t>
      </w:r>
      <w:r>
        <w:t xml:space="preserve">runs after your lint, type and test run mutates the tree that run just certified. Whatever the</w:t>
      </w:r>
      <w:r>
        <w:t xml:space="preserve"> </w:t>
      </w:r>
      <w:r>
        <w:t xml:space="preserve">quartet told you is then true of code that no longer exists. Tools that only report are safe after</w:t>
      </w:r>
      <w:r>
        <w:t xml:space="preserve"> </w:t>
      </w:r>
      <w:r>
        <w:t xml:space="preserve">the quartet, because they change nothing. The ordering is a consequence of what the tool does, not a</w:t>
      </w:r>
      <w:r>
        <w:t xml:space="preserve"> </w:t>
      </w:r>
      <w:r>
        <w:t xml:space="preserve">convention you could reasonably invert.</w:t>
      </w:r>
    </w:p>
    <w:p>
      <w:pPr>
        <w:pStyle w:val="BodyText"/>
      </w:pPr>
      <w:r>
        <w:rPr>
          <w:b/>
          <w:bCs/>
        </w:rPr>
        <w:t xml:space="preserve">An applying tool is not a control, and it may not be scored.</w:t>
      </w:r>
      <w:r>
        <w:t xml:space="preserve"> </w:t>
      </w:r>
      <w:r>
        <w:t xml:space="preserve">If no pipeline leg runs it and</w:t>
      </w:r>
      <w:r>
        <w:t xml:space="preserve"> </w:t>
      </w:r>
      <w:r>
        <w:t xml:space="preserve">nothing reads its output, it is not a gate and not a signal. Be precise about why the liveness rule</w:t>
      </w:r>
      <w:r>
        <w:t xml:space="preserve"> </w:t>
      </w:r>
      <w:r>
        <w:t xml:space="preserve">above -- the requirement that a gate be proven able to fail -- does not reach it: not because it is</w:t>
      </w:r>
      <w:r>
        <w:t xml:space="preserve"> </w:t>
      </w:r>
      <w:r>
        <w:t xml:space="preserve">advisory, but because</w:t>
      </w:r>
      <w:r>
        <w:t xml:space="preserve"> </w:t>
      </w:r>
      <w:r>
        <w:rPr>
          <w:b/>
          <w:bCs/>
        </w:rPr>
        <w:t xml:space="preserve">there is no green check to trust in the first place</w:t>
      </w:r>
      <w:r>
        <w:t xml:space="preserve">. State it loosely and a</w:t>
      </w:r>
      <w:r>
        <w:t xml:space="preserve"> </w:t>
      </w:r>
      <w:r>
        <w:t xml:space="preserve">reader concludes advisory things are exempt from liveness, which is the opposite of the rule.</w:t>
      </w:r>
    </w:p>
    <w:p>
      <w:pPr>
        <w:pStyle w:val="BodyText"/>
      </w:pPr>
      <w:r>
        <w:rPr>
          <w:b/>
          <w:bCs/>
        </w:rPr>
        <w:t xml:space="preserve">A tool that ships with the assistant leaves nothing in your repository to score.</w:t>
      </w:r>
      <w:r>
        <w:t xml:space="preserve"> </w:t>
      </w:r>
      <w:r>
        <w:t xml:space="preserve">When the tool</w:t>
      </w:r>
      <w:r>
        <w:t xml:space="preserve"> </w:t>
      </w:r>
      <w:r>
        <w:t xml:space="preserve">arrives with the coding assistant rather than with the project, no artifact under version control</w:t>
      </w:r>
      <w:r>
        <w:t xml:space="preserve"> </w:t>
      </w:r>
      <w:r>
        <w:t xml:space="preserve">records its presence. A status claim about it can therefore be neither verified nor falsified from</w:t>
      </w:r>
      <w:r>
        <w:t xml:space="preserve"> </w:t>
      </w:r>
      <w:r>
        <w:t xml:space="preserve">the repository, so the honest entry is no status at all -- not "built", not "enabled". This one is</w:t>
      </w:r>
      <w:r>
        <w:t xml:space="preserve"> </w:t>
      </w:r>
      <w:r>
        <w:t xml:space="preserve">easy to get wrong by accident, because the tool is plainly doing useful work.</w:t>
      </w:r>
    </w:p>
    <w:p>
      <w:pPr>
        <w:pStyle w:val="BodyText"/>
      </w:pPr>
      <w:r>
        <w:rPr>
          <w:b/>
          <w:bCs/>
        </w:rPr>
        <w:t xml:space="preserve">Tell it which duplication is deliberate.</w:t>
      </w:r>
      <w:r>
        <w:t xml:space="preserve"> </w:t>
      </w:r>
      <w:r>
        <w:t xml:space="preserve">A tool that rewrites for reuse will collapse repetition</w:t>
      </w:r>
      <w:r>
        <w:t xml:space="preserve"> </w:t>
      </w:r>
      <w:r>
        <w:t xml:space="preserve">that exists on purpose, and collapsing it undoes a decision someone made for reasons. Carry the</w:t>
      </w:r>
      <w:r>
        <w:t xml:space="preserve"> </w:t>
      </w:r>
      <w:r>
        <w:t xml:space="preserve">exclusions as an open class --</w:t>
      </w:r>
      <w:r>
        <w:t xml:space="preserve"> </w:t>
      </w:r>
      <w:r>
        <w:rPr>
          <w:b/>
          <w:bCs/>
        </w:rPr>
        <w:t xml:space="preserve">at least</w:t>
      </w:r>
      <w:r>
        <w:t xml:space="preserve"> </w:t>
      </w:r>
      <w:r>
        <w:t xml:space="preserve">these, never a closed list -- because the closed form is</w:t>
      </w:r>
      <w:r>
        <w:t xml:space="preserve"> </w:t>
      </w:r>
      <w:r>
        <w:t xml:space="preserve">what fails: a list of exactly two cases went to review and a third was found that it had missed. A</w:t>
      </w:r>
      <w:r>
        <w:t xml:space="preserve"> </w:t>
      </w:r>
      <w:r>
        <w:t xml:space="preserve">starting set worth naming:</w:t>
      </w:r>
    </w:p>
    <w:p>
      <w:pPr>
        <w:pStyle w:val="Compact"/>
        <w:numPr>
          <w:ilvl w:val="0"/>
          <w:numId w:val="1007"/>
        </w:numPr>
      </w:pPr>
      <w:r>
        <w:t xml:space="preserve">A parallel implementation kept deliberately similar across backends and pinned by a parity test.</w:t>
      </w:r>
      <w:r>
        <w:t xml:space="preserve"> </w:t>
      </w:r>
      <w:r>
        <w:t xml:space="preserve">The duplication is the point, and the parity test is what protects it.</w:t>
      </w:r>
    </w:p>
    <w:p>
      <w:pPr>
        <w:pStyle w:val="Compact"/>
        <w:numPr>
          <w:ilvl w:val="0"/>
          <w:numId w:val="1007"/>
        </w:numPr>
      </w:pPr>
      <w:r>
        <w:t xml:space="preserve">A vendored copy of an internal library, pinned by a test proving the copy matches its source.</w:t>
      </w:r>
    </w:p>
    <w:p>
      <w:pPr>
        <w:pStyle w:val="Compact"/>
        <w:numPr>
          <w:ilvl w:val="0"/>
          <w:numId w:val="1007"/>
        </w:numPr>
      </w:pPr>
      <w:r>
        <w:t xml:space="preserve">Defensive branches in tolerant input parsing. These are not a duplication concern at all -- they</w:t>
      </w:r>
      <w:r>
        <w:t xml:space="preserve"> </w:t>
      </w:r>
      <w:r>
        <w:t xml:space="preserve">belong to the complexity signal, and filing them under duplication produces the wrong fix.</w:t>
      </w:r>
    </w:p>
    <w:p>
      <w:pPr>
        <w:pStyle w:val="FirstParagraph"/>
      </w:pPr>
      <w:r>
        <w:t xml:space="preserve">Every applied edit stays the maintainer's, kept or discarded one at a time, under the floor that you</w:t>
      </w:r>
      <w:r>
        <w:t xml:space="preserve"> </w:t>
      </w:r>
      <w:r>
        <w:t xml:space="preserve">reject code you cannot explain. A tool that edits your tree has not certified anything: it is a</w:t>
      </w:r>
      <w:r>
        <w:t xml:space="preserve"> </w:t>
      </w:r>
      <w:r>
        <w:t xml:space="preserve">review you asked for, and the verdict is still yours.</w:t>
      </w:r>
    </w:p>
    <w:bookmarkEnd w:id="40"/>
    <w:bookmarkStart w:id="42" w:name="X597443be2705a139bc04ea159f59888b5604f40"/>
    <w:p>
      <w:pPr>
        <w:pStyle w:val="Heading3"/>
      </w:pPr>
      <w:r>
        <w:t xml:space="preserve">Re-derive placement after any repair to the gate</w:t>
      </w:r>
    </w:p>
    <w:p>
      <w:pPr>
        <w:pStyle w:val="FirstParagraph"/>
      </w:pPr>
      <w:r>
        <w:t xml:space="preserve">A cost figure produced by a tool that crashed before doing any work is not a measurement. One gate</w:t>
      </w:r>
      <w:r>
        <w:t xml:space="preserve"> </w:t>
      </w:r>
      <w:r>
        <w:t xml:space="preserve">here was classified expensive and pushed onto a nightly schedule on exactly that basis; once the</w:t>
      </w:r>
      <w:r>
        <w:t xml:space="preserve"> </w:t>
      </w:r>
      <w:r>
        <w:t xml:space="preserve">tool was pinned to a working version, the same bounded scope finished in seconds and the gate moved</w:t>
      </w:r>
      <w:r>
        <w:t xml:space="preserve"> </w:t>
      </w:r>
      <w:r>
        <w:t xml:space="preserve">onto every proposed change. The general rule is already stated as</w:t>
      </w:r>
      <w:r>
        <w:t xml:space="preserve"> </w:t>
      </w:r>
      <w:hyperlink r:id="rId41">
        <w:r>
          <w:rPr>
            <w:rStyle w:val="Hyperlink"/>
          </w:rPr>
          <w:t xml:space="preserve">A cost model built on a broken gate is fiction</w:t>
        </w:r>
      </w:hyperlink>
      <w:r>
        <w:t xml:space="preserve">.</w:t>
      </w:r>
      <w:r>
        <w:t xml:space="preserve"> </w:t>
      </w:r>
      <w:r>
        <w:t xml:space="preserve">The rubric-level consequence:</w:t>
      </w:r>
      <w:r>
        <w:t xml:space="preserve"> </w:t>
      </w:r>
      <w:r>
        <w:rPr>
          <w:b/>
          <w:bCs/>
        </w:rPr>
        <w:t xml:space="preserve">placement is a derived value, so re-derive it after any repair.</w:t>
      </w:r>
    </w:p>
    <w:bookmarkEnd w:id="42"/>
    <w:bookmarkStart w:id="44" w:name="X1df03efceb460cdfcaee6e33061c438652629db"/>
    <w:p>
      <w:pPr>
        <w:pStyle w:val="Heading3"/>
      </w:pPr>
      <w:r>
        <w:t xml:space="preserve">Never record a row as built without a proof-of-execution receipt</w:t>
      </w:r>
    </w:p>
    <w:p>
      <w:pPr>
        <w:pStyle w:val="FirstParagraph"/>
      </w:pPr>
      <w:r>
        <w:t xml:space="preserve">A status of "built" records a gate's existence, not its execution. In one later review, three</w:t>
      </w:r>
      <w:r>
        <w:t xml:space="preserve"> </w:t>
      </w:r>
      <w:r>
        <w:t xml:space="preserve">defects were found across two of five measurement gates, all green throughout: two gates measuring</w:t>
      </w:r>
      <w:r>
        <w:t xml:space="preserve"> </w:t>
      </w:r>
      <w:r>
        <w:t xml:space="preserve">nothing, and one measuring correctly while publishing a wrong derived number. One of them had been</w:t>
      </w:r>
      <w:r>
        <w:t xml:space="preserve"> </w:t>
      </w:r>
      <w:r>
        <w:t xml:space="preserve">scored built across two published versions of the rubric while producing zero units of work.</w:t>
      </w:r>
    </w:p>
    <w:p>
      <w:pPr>
        <w:pStyle w:val="BodyText"/>
      </w:pPr>
      <w:r>
        <w:t xml:space="preserve">The liveness rules that came out of that are published in full under</w:t>
      </w:r>
      <w:r>
        <w:t xml:space="preserve"> </w:t>
      </w:r>
      <w:hyperlink r:id="rId43">
        <w:r>
          <w:rPr>
            <w:rStyle w:val="Hyperlink"/>
          </w:rPr>
          <w:t xml:space="preserve">A check that cannot fail is not a control</w:t>
        </w:r>
      </w:hyperlink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count units examined and never units found</w:t>
      </w:r>
    </w:p>
    <w:p>
      <w:pPr>
        <w:pStyle w:val="Compact"/>
        <w:numPr>
          <w:ilvl w:val="0"/>
          <w:numId w:val="1008"/>
        </w:numPr>
      </w:pPr>
      <w:r>
        <w:t xml:space="preserve">"nothing to measure" passes only when stated and reasoned</w:t>
      </w:r>
    </w:p>
    <w:p>
      <w:pPr>
        <w:pStyle w:val="Compact"/>
        <w:numPr>
          <w:ilvl w:val="0"/>
          <w:numId w:val="1008"/>
        </w:numPr>
      </w:pPr>
      <w:r>
        <w:t xml:space="preserve">a reconciliation containing a derived term is blind to that term</w:t>
      </w:r>
    </w:p>
    <w:p>
      <w:pPr>
        <w:pStyle w:val="Compact"/>
        <w:numPr>
          <w:ilvl w:val="0"/>
          <w:numId w:val="1008"/>
        </w:numPr>
      </w:pPr>
      <w:r>
        <w:t xml:space="preserve">attack the control with the failure class it was built to catch</w:t>
      </w:r>
    </w:p>
    <w:p>
      <w:pPr>
        <w:pStyle w:val="Compact"/>
        <w:numPr>
          <w:ilvl w:val="0"/>
          <w:numId w:val="1008"/>
        </w:numPr>
      </w:pPr>
      <w:r>
        <w:t xml:space="preserve">the advisory layer needs exactly one job permitted to go red</w:t>
      </w:r>
    </w:p>
    <w:p>
      <w:pPr>
        <w:pStyle w:val="FirstParagraph"/>
      </w:pPr>
      <w:r>
        <w:rPr>
          <w:b/>
          <w:bCs/>
        </w:rPr>
        <w:t xml:space="preserve">Rule for this rubric specifically: a scorecard row cites the receipt, not the workflow file.</w:t>
      </w:r>
    </w:p>
    <w:p>
      <w:pPr>
        <w:pStyle w:val="BodyText"/>
      </w:pPr>
      <w:r>
        <w:t xml:space="preserve">Three mechanics make that receipt trustworthy, and each was learned by losing it: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Pin the exact version of any tool a gate depends on.</w:t>
      </w:r>
      <w:r>
        <w:t xml:space="preserve"> </w:t>
      </w:r>
      <w:r>
        <w:t xml:space="preserve">An open upper bound resolved to a release</w:t>
      </w:r>
      <w:r>
        <w:t xml:space="preserve"> </w:t>
      </w:r>
      <w:r>
        <w:t xml:space="preserve">that crashed on the project's runtime before generating any work.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Remove failure-swallowing operators from gate scripts.</w:t>
      </w:r>
      <w:r>
        <w:t xml:space="preserve"> </w:t>
      </w:r>
      <w:r>
        <w:t xml:space="preserve">A trailing ignore-failures operator</w:t>
      </w:r>
      <w:r>
        <w:t xml:space="preserve"> </w:t>
      </w:r>
      <w:r>
        <w:t xml:space="preserve">turned that crash into a passing job in well under a minute.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Require a non-zero units-examined count</w:t>
      </w:r>
      <w:r>
        <w:t xml:space="preserve">, so a resolution change cannot read as a clean sweep.</w:t>
      </w:r>
    </w:p>
    <w:bookmarkEnd w:id="44"/>
    <w:bookmarkStart w:id="45" w:name="Xd9dbceec688c77ac95e3dc47bf43983d521284f"/>
    <w:p>
      <w:pPr>
        <w:pStyle w:val="Heading3"/>
      </w:pPr>
      <w:r>
        <w:t xml:space="preserve">Make an advisory finding a delta against the merge base</w:t>
      </w:r>
    </w:p>
    <w:p>
      <w:pPr>
        <w:pStyle w:val="FirstParagraph"/>
      </w:pPr>
      <w:r>
        <w:t xml:space="preserve">A raw advisory list over a whole repository is not usable on a change: every finding anchors on the</w:t>
      </w:r>
      <w:r>
        <w:t xml:space="preserve"> </w:t>
      </w:r>
      <w:r>
        <w:t xml:space="preserve">same declaration line, so nothing distinguishes what the change introduced from what it inherited.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Compute the finding set at the merge base and at the change head, and report only what the</w:t>
      </w:r>
      <w:r>
        <w:t xml:space="preserve"> </w:t>
      </w:r>
      <w:r>
        <w:t xml:space="preserve">change introduced or made worse.</w:t>
      </w:r>
    </w:p>
    <w:bookmarkEnd w:id="45"/>
    <w:bookmarkStart w:id="46" w:name="X8c4e78d23ff997ec49ea1c102279685646a2549"/>
    <w:p>
      <w:pPr>
        <w:pStyle w:val="Heading3"/>
      </w:pPr>
      <w:r>
        <w:t xml:space="preserve">Put advisory findings where the reviewer already is</w:t>
      </w:r>
    </w:p>
    <w:p>
      <w:pPr>
        <w:pStyle w:val="FirstParagraph"/>
      </w:pPr>
      <w:r>
        <w:t xml:space="preserve">An advisory measurement that prints to a job log is read by nobody.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Emit it as an inline annotation on the changed lines of the proposal, coalescing adjacent</w:t>
      </w:r>
      <w:r>
        <w:t xml:space="preserve"> </w:t>
      </w:r>
      <w:r>
        <w:t xml:space="preserve">findings into ranges so the annotation set stays legible.</w:t>
      </w:r>
    </w:p>
    <w:bookmarkEnd w:id="46"/>
    <w:bookmarkStart w:id="48" w:name="Xb62db8c4c5e20baab99d0eaa36c6b7cbdb5b5b0"/>
    <w:p>
      <w:pPr>
        <w:pStyle w:val="Heading3"/>
      </w:pPr>
      <w:r>
        <w:t xml:space="preserve">Install the gate's own tooling from a checked-in lock</w:t>
      </w:r>
    </w:p>
    <w:p>
      <w:pPr>
        <w:pStyle w:val="FirstParagraph"/>
      </w:pPr>
      <w:r>
        <w:t xml:space="preserve">Advisory tooling installed ephemerally on a runner is still a dependency of a control. A version</w:t>
      </w:r>
      <w:r>
        <w:t xml:space="preserve"> </w:t>
      </w:r>
      <w:r>
        <w:t xml:space="preserve">pin does not satisfy a supply-chain scorer's pinned-dependency requirement, and a hash-pinned</w:t>
      </w:r>
      <w:r>
        <w:t xml:space="preserve"> </w:t>
      </w:r>
      <w:r>
        <w:t xml:space="preserve">toolchain kept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your existing export-and-diff machinery rots into a pinned, stale and</w:t>
      </w:r>
      <w:r>
        <w:t xml:space="preserve"> </w:t>
      </w:r>
      <w:r>
        <w:t xml:space="preserve">unpatched one -- a worse posture than floating.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Install gate tooling from a lock that records digests, kept inside the same</w:t>
      </w:r>
      <w:r>
        <w:t xml:space="preserve"> </w:t>
      </w:r>
      <w:r>
        <w:t xml:space="preserve">regenerate-and-diff machinery as your runtime locks, and assert that it cannot leak into the runtime</w:t>
      </w:r>
      <w:r>
        <w:t xml:space="preserve"> </w:t>
      </w:r>
      <w:r>
        <w:t xml:space="preserve">install set.</w:t>
      </w:r>
      <w:r>
        <w:t xml:space="preserve"> </w:t>
      </w:r>
      <w:r>
        <w:rPr>
          <w:i/>
          <w:iCs/>
        </w:rPr>
        <w:t xml:space="preserve">The declaration mechanism -- a non-default dependency group, an optional extra, a</w:t>
      </w:r>
      <w:r>
        <w:rPr>
          <w:i/>
          <w:iCs/>
        </w:rPr>
        <w:t xml:space="preserve"> </w:t>
      </w:r>
      <w:r>
        <w:rPr>
          <w:i/>
          <w:iCs/>
        </w:rPr>
        <w:t xml:space="preserve">separate lock file -- is ecosystem-specific; check what yours actually guarantees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assuming a version pin is a digest pin.</w:t>
      </w:r>
      <w:r>
        <w:t xml:space="preserve"> </w:t>
      </w:r>
      <w:r>
        <w:t xml:space="preserve">The general rule is</w:t>
      </w:r>
      <w:r>
        <w:t xml:space="preserve"> </w:t>
      </w:r>
      <w:hyperlink r:id="rId47">
        <w:r>
          <w:rPr>
            <w:rStyle w:val="Hyperlink"/>
          </w:rPr>
          <w:t xml:space="preserve">Constrain every install site from a checked-in lock</w:t>
        </w:r>
      </w:hyperlink>
      <w:r>
        <w:t xml:space="preserve">;</w:t>
      </w:r>
      <w:r>
        <w:t xml:space="preserve"> </w:t>
      </w:r>
      <w:r>
        <w:t xml:space="preserve">the two deltas above are the additions.</w:t>
      </w:r>
    </w:p>
    <w:bookmarkEnd w:id="48"/>
    <w:bookmarkStart w:id="50" w:name="rolling-out-a-blocking-lint-expansion"/>
    <w:p>
      <w:pPr>
        <w:pStyle w:val="Heading3"/>
      </w:pPr>
      <w:r>
        <w:t xml:space="preserve">Rolling out a blocking lint expansion</w:t>
      </w:r>
    </w:p>
    <w:p>
      <w:pPr>
        <w:pStyle w:val="FirstParagraph"/>
      </w:pPr>
      <w:r>
        <w:t xml:space="preserve">Widening a ruleset on an existing codebase produces a wall of violations that will either be</w:t>
      </w:r>
      <w:r>
        <w:t xml:space="preserve"> </w:t>
      </w:r>
      <w:r>
        <w:t xml:space="preserve">suppressed wholesale or ignored.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Auto-fix what is mechanically fixable, grandfather the remainder with per-line</w:t>
      </w:r>
      <w:r>
        <w:t xml:space="preserve"> </w:t>
      </w:r>
      <w:r>
        <w:t xml:space="preserve">suppressions that each name the rule, and enforce on new code from that clean baseline. See</w:t>
      </w:r>
      <w:r>
        <w:t xml:space="preserve"> </w:t>
      </w:r>
      <w:hyperlink r:id="rId49">
        <w:r>
          <w:rPr>
            <w:rStyle w:val="Hyperlink"/>
          </w:rPr>
          <w:t xml:space="preserve">Grandfather to a clean baseline, then ratchet</w:t>
        </w:r>
      </w:hyperlink>
      <w:r>
        <w:t xml:space="preserve">.</w:t>
      </w:r>
    </w:p>
    <w:bookmarkEnd w:id="50"/>
    <w:bookmarkStart w:id="51" w:name="X4c002b3a64c509ea8664658236d67cae023b9dc"/>
    <w:p>
      <w:pPr>
        <w:pStyle w:val="Heading3"/>
      </w:pPr>
      <w:r>
        <w:t xml:space="preserve">Keep volatile counts out of the narrative</w:t>
      </w:r>
    </w:p>
    <w:p>
      <w:pPr>
        <w:pStyle w:val="FirstParagraph"/>
      </w:pPr>
      <w:r>
        <w:t xml:space="preserve">One complexity sweep found a certain number of functions over threshold. Two weeks later, with no</w:t>
      </w:r>
      <w:r>
        <w:t xml:space="preserve"> </w:t>
      </w:r>
      <w:r>
        <w:t xml:space="preserve">change to the rule, the same sweep found substantially more. The count in prose went stale faster</w:t>
      </w:r>
      <w:r>
        <w:t xml:space="preserve"> </w:t>
      </w:r>
      <w:r>
        <w:t xml:space="preserve">than the document's own revision cycle, and both figures described one repository -- which is why</w:t>
      </w:r>
      <w:r>
        <w:t xml:space="preserve"> </w:t>
      </w:r>
      <w:r>
        <w:t xml:space="preserve">neither appears here.</w:t>
      </w:r>
    </w:p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A volatile count lives in one machine-readable record the prose links to, never in the</w:t>
      </w:r>
      <w:r>
        <w:t xml:space="preserve"> </w:t>
      </w:r>
      <w:r>
        <w:t xml:space="preserve">narrative. State the rule; let the record hold the number.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viewing-the-code-depth-tiers"/>
    <w:p>
      <w:pPr>
        <w:pStyle w:val="Heading2"/>
      </w:pPr>
      <w:r>
        <w:t xml:space="preserve">Reviewing the code: depth tiers</w:t>
      </w:r>
    </w:p>
    <w:p>
      <w:pPr>
        <w:pStyle w:val="FirstParagraph"/>
      </w:pPr>
      <w:r>
        <w:t xml:space="preserve">Before reviewing, classify every file into a depth tier and review to that tier. Publish the</w:t>
      </w:r>
      <w:r>
        <w:t xml:space="preserve"> </w:t>
      </w:r>
      <w:r>
        <w:t xml:space="preserve">classification with a line count per tier, so the review is auditable and the deep-read surface is</w:t>
      </w:r>
      <w:r>
        <w:t xml:space="preserve"> </w:t>
      </w:r>
      <w:r>
        <w:t xml:space="preserve">visibly small.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  <w:tc>
          <w:tcPr/>
          <w:p>
            <w:pPr>
              <w:pStyle w:val="Compact"/>
            </w:pPr>
            <w:r>
              <w:t xml:space="preserve">When it applies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every line</w:t>
            </w:r>
          </w:p>
        </w:tc>
        <w:tc>
          <w:tcPr/>
          <w:p>
            <w:pPr>
              <w:pStyle w:val="Compact"/>
            </w:pPr>
            <w:r>
              <w:t xml:space="preserve">Full comprehension. Explain each line and stand behind it; rubber-stamping is forbidden, and code that stays opaque is rejected</w:t>
            </w:r>
          </w:p>
        </w:tc>
        <w:tc>
          <w:tcPr/>
          <w:p>
            <w:pPr>
              <w:pStyle w:val="Compact"/>
            </w:pPr>
            <w:r>
              <w:t xml:space="preserve">Third-party or unknown-provenance code you are adopting as your own. This is what converts it into owned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the guard</w:t>
            </w:r>
          </w:p>
        </w:tc>
        <w:tc>
          <w:tcPr/>
          <w:p>
            <w:pPr>
              <w:pStyle w:val="Compact"/>
            </w:pPr>
            <w:r>
              <w:t xml:space="preserve">Read only the trust-boundary functions that admit unknown-provenance input. The question is "is the gate sound?", not "is every line correct?"</w:t>
            </w:r>
          </w:p>
        </w:tc>
        <w:tc>
          <w:tcPr/>
          <w:p>
            <w:pPr>
              <w:pStyle w:val="Compact"/>
            </w:pPr>
            <w:r>
              <w:t xml:space="preserve">A large first-party file whose only exposure is one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check</w:t>
            </w:r>
          </w:p>
        </w:tc>
        <w:tc>
          <w:tcPr/>
          <w:p>
            <w:pPr>
              <w:pStyle w:val="Compact"/>
            </w:pPr>
            <w:r>
              <w:t xml:space="preserve">Skim a first-party parallel implementation for divergence from the thing it shadows. Not line-by-line</w:t>
            </w:r>
          </w:p>
        </w:tc>
        <w:tc>
          <w:tcPr/>
          <w:p>
            <w:pPr>
              <w:pStyle w:val="Compact"/>
            </w:pPr>
            <w:r>
              <w:t xml:space="preserve">A deliberate second implementation of behaviour that exists elsewhere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Glance</w:t>
            </w:r>
          </w:p>
        </w:tc>
        <w:tc>
          <w:tcPr/>
          <w:p>
            <w:pPr>
              <w:pStyle w:val="Compact"/>
            </w:pPr>
            <w:r>
              <w:t xml:space="preserve">Confirm the shape of a representative example. Representative, not exhaustive</w:t>
            </w:r>
          </w:p>
        </w:tc>
        <w:tc>
          <w:tcPr/>
          <w:p>
            <w:pPr>
              <w:pStyle w:val="Compact"/>
            </w:pPr>
            <w:r>
              <w:t xml:space="preserve">Sample or template code that shows a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 note</w:t>
            </w:r>
          </w:p>
        </w:tc>
        <w:tc>
          <w:tcPr/>
          <w:p>
            <w:pPr>
              <w:pStyle w:val="Compact"/>
            </w:pPr>
            <w:r>
              <w:t xml:space="preserve">Record where it came from and who verified it</w:t>
            </w:r>
          </w:p>
        </w:tc>
        <w:tc>
          <w:tcPr/>
          <w:p>
            <w:pPr>
              <w:pStyle w:val="Compact"/>
            </w:pPr>
            <w:r>
              <w:t xml:space="preserve">Bundled data rather than code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Rule.</w:t>
      </w:r>
      <w:r>
        <w:t xml:space="preserve"> </w:t>
      </w:r>
      <w:r>
        <w:t xml:space="preserve">Measured in one review: the deep-read tier was roughly five percent of the reviewed lines.</w:t>
      </w:r>
      <w:r>
        <w:t xml:space="preserve"> </w:t>
      </w:r>
      <w:r>
        <w:t xml:space="preserve">That is the point of the classification -- the expensive read is aimed at the fraction that earns</w:t>
      </w:r>
      <w:r>
        <w:t xml:space="preserve"> </w:t>
      </w:r>
      <w:r>
        <w:t xml:space="preserve">it, and every other file has a named cheaper obligation rather than being skipped in silence.</w:t>
      </w:r>
    </w:p>
    <w:p>
      <w:pPr>
        <w:pStyle w:val="BodyText"/>
      </w:pPr>
      <w:r>
        <w:t xml:space="preserve">The comprehension bar itself is settled on this site: you must be able to explain every reviewed</w:t>
      </w:r>
      <w:r>
        <w:t xml:space="preserve"> </w:t>
      </w:r>
      <w:r>
        <w:t xml:space="preserve">line and stand behind it, and reaching that explanation with assistance is fine. See</w:t>
      </w:r>
      <w:r>
        <w:t xml:space="preserve"> </w:t>
      </w:r>
      <w:r>
        <w:rPr>
          <w:i/>
          <w:iCs/>
        </w:rPr>
        <w:t xml:space="preserve">Reject code</w:t>
      </w:r>
      <w:r>
        <w:rPr>
          <w:i/>
          <w:iCs/>
        </w:rPr>
        <w:t xml:space="preserve"> </w:t>
      </w:r>
      <w:r>
        <w:rPr>
          <w:i/>
          <w:iCs/>
        </w:rPr>
        <w:t xml:space="preserve">you cannot explain</w:t>
      </w:r>
      <w:r>
        <w:t xml:space="preserve"> </w:t>
      </w:r>
      <w:r>
        <w:t xml:space="preserve">in</w:t>
      </w:r>
      <w:r>
        <w:t xml:space="preserve"> </w:t>
      </w:r>
      <w:hyperlink r:id="rId53">
        <w:r>
          <w:rPr>
            <w:rStyle w:val="Hyperlink"/>
          </w:rPr>
          <w:t xml:space="preserve">CI and standards</w:t>
        </w:r>
      </w:hyperlink>
      <w:r>
        <w:t xml:space="preserve">.</w:t>
      </w:r>
    </w:p>
    <w:bookmarkStart w:id="54" w:name="X21447fa3360ab7c39aecc4afe7b21be6d9bbd16"/>
    <w:p>
      <w:pPr>
        <w:pStyle w:val="Heading3"/>
      </w:pPr>
      <w:r>
        <w:t xml:space="preserve">Anchor a review record to a stable name, not a line number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Cite the function or symbol name and tell the reviewer to search for it. Record an</w:t>
      </w:r>
      <w:r>
        <w:t xml:space="preserve"> </w:t>
      </w:r>
      <w:r>
        <w:t xml:space="preserve">approximate position only as a convenience, and say in the record that positions drift. A checklist</w:t>
      </w:r>
      <w:r>
        <w:t xml:space="preserve"> </w:t>
      </w:r>
      <w:r>
        <w:t xml:space="preserve">whose citations all point at the wrong lines within one release is not a checklist.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viewing-a-trust-boundary"/>
    <w:p>
      <w:pPr>
        <w:pStyle w:val="Heading2"/>
      </w:pPr>
      <w:r>
        <w:t xml:space="preserve">Reviewing a trust boundary</w:t>
      </w:r>
    </w:p>
    <w:p>
      <w:pPr>
        <w:pStyle w:val="FirstParagraph"/>
      </w:pPr>
      <w:r>
        <w:t xml:space="preserve">When a component executes, imports or loads content of unknown provenance, review the</w:t>
      </w:r>
      <w:r>
        <w:t xml:space="preserve"> </w:t>
      </w:r>
      <w:r>
        <w:rPr>
          <w:b/>
          <w:bCs/>
        </w:rPr>
        <w:t xml:space="preserve">boundary</w:t>
      </w:r>
      <w:r>
        <w:t xml:space="preserve"> </w:t>
      </w:r>
      <w:r>
        <w:t xml:space="preserve">rather than the body, against a fixed question set. These generalise from a real review of one such</w:t>
      </w:r>
      <w:r>
        <w:t xml:space="preserve"> </w:t>
      </w:r>
      <w:r>
        <w:t xml:space="preserve">seam; the two most commonly missed are the last two.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the vet actually bound what can load?</w:t>
      </w:r>
      <w:r>
        <w:t xml:space="preserve"> </w:t>
      </w:r>
      <w:r>
        <w:t xml:space="preserve">Not "does a vet exist" -- does it constrain the</w:t>
      </w:r>
      <w:r>
        <w:t xml:space="preserve"> </w:t>
      </w:r>
      <w:r>
        <w:t xml:space="preserve">set.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there any code path that reaches execution without the vet running first?</w:t>
      </w:r>
      <w:r>
        <w:t xml:space="preserve"> </w:t>
      </w:r>
      <w:r>
        <w:t xml:space="preserve">Check every</w:t>
      </w:r>
      <w:r>
        <w:t xml:space="preserve"> </w:t>
      </w:r>
      <w:r>
        <w:t xml:space="preserve">caller, not only the documented one.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it fail closed?</w:t>
      </w:r>
      <w:r>
        <w:t xml:space="preserve"> </w:t>
      </w:r>
      <w:r>
        <w:t xml:space="preserve">No silent downgrade to a weaker mode when the intended backend is</w:t>
      </w:r>
      <w:r>
        <w:t xml:space="preserve"> </w:t>
      </w:r>
      <w:r>
        <w:t xml:space="preserve">absent, and no fallback on an unknown name.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 load target validated against a fixed known set before use</w:t>
      </w:r>
      <w:r>
        <w:t xml:space="preserve">, so operator input cannot</w:t>
      </w:r>
      <w:r>
        <w:t xml:space="preserve"> </w:t>
      </w:r>
      <w:r>
        <w:t xml:space="preserve">trigger an arbitrary import?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the vet cover the whole executable surface</w:t>
      </w:r>
      <w:r>
        <w:t xml:space="preserve">, or only the obvious top level?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it follow links?</w:t>
      </w:r>
      <w:r>
        <w:t xml:space="preserve"> </w:t>
      </w:r>
      <w:r>
        <w:t xml:space="preserve">A vetted-looking entry can point at a writable or foreign target.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 check silently skipped under a privileged account?</w:t>
      </w:r>
      <w:r>
        <w:t xml:space="preserve"> </w:t>
      </w:r>
      <w:r>
        <w:t xml:space="preserve">If so, that account must be</w:t>
      </w:r>
      <w:r>
        <w:t xml:space="preserve"> </w:t>
      </w:r>
      <w:r>
        <w:t xml:space="preserve">documented as unsupported for running the component.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If it installs a resolution shim, is the shim scoped to the load window and removed</w:t>
      </w:r>
      <w:r>
        <w:rPr>
          <w:b/>
          <w:bCs/>
        </w:rPr>
        <w:t xml:space="preserve"> </w:t>
      </w:r>
      <w:r>
        <w:rPr>
          <w:b/>
          <w:bCs/>
        </w:rPr>
        <w:t xml:space="preserve">afterwards, and does it resolve only the names it is meant to?</w:t>
      </w:r>
      <w:r>
        <w:t xml:space="preserve"> </w:t>
      </w:r>
      <w:r>
        <w:t xml:space="preserve">A shim at the front of the</w:t>
      </w:r>
      <w:r>
        <w:t xml:space="preserve"> </w:t>
      </w:r>
      <w:r>
        <w:t xml:space="preserve">resolution order shadows genuine components for its whole lifetime.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Does a failed load clean up after itself</w:t>
      </w:r>
      <w:r>
        <w:t xml:space="preserve">, leaving no partially initialised state registered?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Is there a platform on which the runtime check returns early and does nothing?</w:t>
      </w:r>
      <w:r>
        <w:t xml:space="preserve"> </w:t>
      </w:r>
      <w:r>
        <w:t xml:space="preserve">If so, the</w:t>
      </w:r>
      <w:r>
        <w:t xml:space="preserve"> </w:t>
      </w:r>
      <w:r>
        <w:t xml:space="preserve">real boundary is an install-time filesystem permission that somebody must confirm was actually</w:t>
      </w:r>
      <w:r>
        <w:t xml:space="preserve"> </w:t>
      </w:r>
      <w:r>
        <w:t xml:space="preserve">applied -- and if that platform is your primary one, the runtime check is not the control you</w:t>
      </w:r>
      <w:r>
        <w:t xml:space="preserve"> </w:t>
      </w:r>
      <w:r>
        <w:t xml:space="preserve">think it is.</w:t>
      </w:r>
    </w:p>
    <w:p>
      <w:pPr>
        <w:pStyle w:val="FirstParagraph"/>
      </w:pPr>
      <w:r>
        <w:rPr>
          <w:b/>
          <w:bCs/>
        </w:rPr>
        <w:t xml:space="preserve">Rule.</w:t>
      </w:r>
      <w:r>
        <w:t xml:space="preserve"> </w:t>
      </w:r>
      <w:r>
        <w:t xml:space="preserve">Where a question resolves as "not yet, because the risky case does not exist here",</w:t>
      </w:r>
      <w:r>
        <w:t xml:space="preserve"> </w:t>
      </w:r>
      <w:r>
        <w:t xml:space="preserve">record a</w:t>
      </w:r>
      <w:r>
        <w:t xml:space="preserve"> </w:t>
      </w:r>
      <w:r>
        <w:rPr>
          <w:b/>
          <w:bCs/>
        </w:rPr>
        <w:t xml:space="preserve">re-review trigger</w:t>
      </w:r>
      <w:r>
        <w:t xml:space="preserve"> </w:t>
      </w:r>
      <w:r>
        <w:t xml:space="preserve">naming the event that makes it exist.</w:t>
      </w:r>
    </w:p>
    <w:p>
      <w:r>
        <w:pict>
          <v:rect style="width:0;height:1.5pt" o:hralign="center" o:hrstd="t" o:hr="t"/>
        </w:pict>
      </w:r>
    </w:p>
    <w:bookmarkEnd w:id="56"/>
    <w:bookmarkStart w:id="58" w:name="confirming-the-control-plane"/>
    <w:p>
      <w:pPr>
        <w:pStyle w:val="Heading2"/>
      </w:pPr>
      <w:r>
        <w:t xml:space="preserve">Confirming the control plane</w:t>
      </w:r>
    </w:p>
    <w:p>
      <w:pPr>
        <w:pStyle w:val="FirstParagraph"/>
      </w:pPr>
      <w:r>
        <w:t xml:space="preserve">Split a release review into two parts and do the cheap half first.</w:t>
      </w:r>
    </w:p>
    <w:p>
      <w:pPr>
        <w:pStyle w:val="BodyText"/>
      </w:pPr>
      <w:r>
        <w:rPr>
          <w:b/>
          <w:bCs/>
        </w:rPr>
        <w:t xml:space="preserve">Part A -- the control plane. No code reading.</w:t>
      </w:r>
      <w:r>
        <w:t xml:space="preserve"> </w:t>
      </w:r>
      <w:r>
        <w:t xml:space="preserve">For each required check, confirm it exists, that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rather than advisory, and that it was</w:t>
      </w:r>
      <w:r>
        <w:t xml:space="preserve"> </w:t>
      </w:r>
      <w:r>
        <w:rPr>
          <w:b/>
          <w:bCs/>
        </w:rPr>
        <w:t xml:space="preserve">green on the exact commit being</w:t>
      </w:r>
      <w:r>
        <w:rPr>
          <w:b/>
          <w:bCs/>
        </w:rPr>
        <w:t xml:space="preserve"> </w:t>
      </w:r>
      <w:r>
        <w:rPr>
          <w:b/>
          <w:bCs/>
        </w:rPr>
        <w:t xml:space="preserve">released</w:t>
      </w:r>
      <w:r>
        <w:t xml:space="preserve">. The release change's own pipeline run is the control plane executing. Confirm at least:</w:t>
      </w:r>
    </w:p>
    <w:p>
      <w:pPr>
        <w:pStyle w:val="Compact"/>
        <w:numPr>
          <w:ilvl w:val="0"/>
          <w:numId w:val="1011"/>
        </w:numPr>
      </w:pPr>
      <w:r>
        <w:t xml:space="preserve">a dependency inventory with a verify-before-add rule and no fabricated or near-miss names;</w:t>
      </w:r>
    </w:p>
    <w:p>
      <w:pPr>
        <w:pStyle w:val="Compact"/>
        <w:numPr>
          <w:ilvl w:val="0"/>
          <w:numId w:val="1011"/>
        </w:numPr>
      </w:pPr>
      <w:r>
        <w:t xml:space="preserve">pins that are hash-locked and provably in sync, with a re-export diff that comes back clean;</w:t>
      </w:r>
    </w:p>
    <w:p>
      <w:pPr>
        <w:pStyle w:val="Compact"/>
        <w:numPr>
          <w:ilvl w:val="0"/>
          <w:numId w:val="1011"/>
        </w:numPr>
      </w:pPr>
      <w:r>
        <w:t xml:space="preserve">a blocking dependency-vulnerability scan that installs with hashes required;</w:t>
      </w:r>
    </w:p>
    <w:p>
      <w:pPr>
        <w:pStyle w:val="Compact"/>
        <w:numPr>
          <w:ilvl w:val="0"/>
          <w:numId w:val="1011"/>
        </w:numPr>
      </w:pPr>
      <w:r>
        <w:t xml:space="preserve">scheduled vulnerability surveillance across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package ecosystem in the repository,</w:t>
      </w:r>
      <w:r>
        <w:t xml:space="preserve"> </w:t>
      </w:r>
      <w:r>
        <w:t xml:space="preserve">including ones outside the primary language;</w:t>
      </w:r>
    </w:p>
    <w:p>
      <w:pPr>
        <w:pStyle w:val="Compact"/>
        <w:numPr>
          <w:ilvl w:val="0"/>
          <w:numId w:val="1011"/>
        </w:numPr>
      </w:pPr>
      <w:r>
        <w:t xml:space="preserve">static analysis and secret scanning, blocking, with the secret scan over the full history;</w:t>
      </w:r>
    </w:p>
    <w:p>
      <w:pPr>
        <w:pStyle w:val="Compact"/>
        <w:numPr>
          <w:ilvl w:val="0"/>
          <w:numId w:val="1011"/>
        </w:numPr>
      </w:pPr>
      <w:r>
        <w:t xml:space="preserve">the scanner rule configuration and the local hook configuration present, tracking the same tool</w:t>
      </w:r>
      <w:r>
        <w:t xml:space="preserve"> </w:t>
      </w:r>
      <w:r>
        <w:t xml:space="preserve">versions as the pipeline;</w:t>
      </w:r>
    </w:p>
    <w:p>
      <w:pPr>
        <w:pStyle w:val="Compact"/>
        <w:numPr>
          <w:ilvl w:val="0"/>
          <w:numId w:val="1011"/>
        </w:numPr>
      </w:pPr>
      <w:r>
        <w:t xml:space="preserve">any provenance convention the project claims -- counted in the actual history, not assumed.</w:t>
      </w:r>
    </w:p>
    <w:p>
      <w:pPr>
        <w:pStyle w:val="FirstParagraph"/>
      </w:pPr>
      <w:r>
        <w:rPr>
          <w:b/>
          <w:bCs/>
        </w:rPr>
        <w:t xml:space="preserve">Review the scanner suppression list explicitly rather than accepting it.</w:t>
      </w:r>
      <w:r>
        <w:t xml:space="preserve"> </w:t>
      </w:r>
      <w:r>
        <w:t xml:space="preserve">A suppressed rule class</w:t>
      </w:r>
      <w:r>
        <w:t xml:space="preserve"> </w:t>
      </w:r>
      <w:r>
        <w:t xml:space="preserve">is a control that has been turned off, and the skip list is where that decision is recorded.</w:t>
      </w:r>
    </w:p>
    <w:p>
      <w:pPr>
        <w:pStyle w:val="BodyText"/>
      </w:pPr>
      <w:r>
        <w:rPr>
          <w:b/>
          <w:bCs/>
        </w:rPr>
        <w:t xml:space="preserve">Mark which nominally-security jobs are advisory rather than blocking, and do not count those as</w:t>
      </w:r>
      <w:r>
        <w:rPr>
          <w:b/>
          <w:bCs/>
        </w:rPr>
        <w:t xml:space="preserve"> </w:t>
      </w:r>
      <w:r>
        <w:rPr>
          <w:b/>
          <w:bCs/>
        </w:rPr>
        <w:t xml:space="preserve">coverage.</w:t>
      </w:r>
      <w:r>
        <w:t xml:space="preserve"> </w:t>
      </w:r>
      <w:r>
        <w:t xml:space="preserve">See</w:t>
      </w:r>
      <w:r>
        <w:t xml:space="preserve"> </w:t>
      </w:r>
      <w:hyperlink r:id="rId57">
        <w:r>
          <w:rPr>
            <w:rStyle w:val="Hyperlink"/>
          </w:rPr>
          <w:t xml:space="preserve">Blocking and advisory are not the same coverage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B -- the line-by-line surface</w:t>
      </w:r>
      <w:r>
        <w:t xml:space="preserve">, reviewed to the depth tiers above.</w:t>
      </w:r>
    </w:p>
    <w:p>
      <w:r>
        <w:pict>
          <v:rect style="width:0;height:1.5pt" o:hralign="center" o:hrstd="t" o:hr="t"/>
        </w:pict>
      </w:r>
    </w:p>
    <w:bookmarkEnd w:id="58"/>
    <w:bookmarkStart w:id="59" w:name="when-review-is-self-review"/>
    <w:p>
      <w:pPr>
        <w:pStyle w:val="Heading2"/>
      </w:pPr>
      <w:r>
        <w:t xml:space="preserve">When review is self-review</w:t>
      </w:r>
    </w:p>
    <w:p>
      <w:pPr>
        <w:pStyle w:val="FirstParagraph"/>
      </w:pPr>
      <w:r>
        <w:t xml:space="preserve">Where there is one maintainer, or no available second reviewer, row 5's human review is self-review.</w:t>
      </w:r>
      <w:r>
        <w:t xml:space="preserve"> </w:t>
      </w:r>
      <w:r>
        <w:t xml:space="preserve">Record that as a</w:t>
      </w:r>
      <w:r>
        <w:t xml:space="preserve"> </w:t>
      </w:r>
      <w:r>
        <w:rPr>
          <w:b/>
          <w:bCs/>
        </w:rPr>
        <w:t xml:space="preserve">documented deviation</w:t>
      </w:r>
      <w:r>
        <w:t xml:space="preserve"> </w:t>
      </w:r>
      <w:r>
        <w:t xml:space="preserve">rather than describing the control as satisfied: name the</w:t>
      </w:r>
      <w:r>
        <w:t xml:space="preserve"> </w:t>
      </w:r>
      <w:r>
        <w:t xml:space="preserve">control that cannot be met, the compensating set actually in force, and the event that ends the</w:t>
      </w:r>
      <w:r>
        <w:t xml:space="preserve"> </w:t>
      </w:r>
      <w:r>
        <w:t xml:space="preserve">deviation.</w:t>
      </w:r>
    </w:p>
    <w:p>
      <w:pPr>
        <w:pStyle w:val="BodyText"/>
      </w:pPr>
      <w:r>
        <w:t xml:space="preserve">Then name the control that most nearly compensates. The overconfidence finding bites hardest</w:t>
      </w:r>
      <w:r>
        <w:t xml:space="preserve"> </w:t>
      </w:r>
      <w:r>
        <w:t xml:space="preserve">exactly when the author reviews their own machine-assisted output, which makes</w:t>
      </w:r>
      <w:r>
        <w:t xml:space="preserve"> </w:t>
      </w:r>
      <w:r>
        <w:rPr>
          <w:b/>
          <w:bCs/>
        </w:rPr>
        <w:t xml:space="preserve">mutation on changed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the highest-leverage gate to build first: it is the one control that adversarially checks</w:t>
      </w:r>
      <w:r>
        <w:t xml:space="preserve"> </w:t>
      </w:r>
      <w:r>
        <w:t xml:space="preserve">whether the tests assert anything, independently of the author's confidence.</w:t>
      </w:r>
    </w:p>
    <w:p>
      <w:r>
        <w:pict>
          <v:rect style="width:0;height:1.5pt" o:hralign="center" o:hrstd="t" o:hr="t"/>
        </w:pict>
      </w:r>
    </w:p>
    <w:bookmarkEnd w:id="59"/>
    <w:bookmarkStart w:id="60" w:name="adapting-this-to-your-project"/>
    <w:p>
      <w:pPr>
        <w:pStyle w:val="Heading2"/>
      </w:pPr>
      <w:r>
        <w:t xml:space="preserve">Adapting this to your project</w:t>
      </w:r>
    </w:p>
    <w:p>
      <w:pPr>
        <w:pStyle w:val="FirstParagraph"/>
      </w:pPr>
      <w:r>
        <w:rPr>
          <w:b/>
          <w:bCs/>
        </w:rPr>
        <w:t xml:space="preserve">Change freely:</w:t>
      </w:r>
    </w:p>
    <w:p>
      <w:pPr>
        <w:pStyle w:val="Compact"/>
        <w:numPr>
          <w:ilvl w:val="0"/>
          <w:numId w:val="1012"/>
        </w:numPr>
      </w:pPr>
      <w:r>
        <w:t xml:space="preserve">The tool behind every gate. Nothing here names one, deliberately.</w:t>
      </w:r>
    </w:p>
    <w:p>
      <w:pPr>
        <w:pStyle w:val="Compact"/>
        <w:numPr>
          <w:ilvl w:val="0"/>
          <w:numId w:val="1012"/>
        </w:numPr>
      </w:pPr>
      <w:r>
        <w:t xml:space="preserve">The thresholds. Set them from your own accumulating data and record them in your own appendix,</w:t>
      </w:r>
      <w:r>
        <w:t xml:space="preserve"> </w:t>
      </w:r>
      <w:r>
        <w:t xml:space="preserve">labelled project-set rather than evidence-certified.</w:t>
      </w:r>
    </w:p>
    <w:p>
      <w:pPr>
        <w:pStyle w:val="Compact"/>
        <w:numPr>
          <w:ilvl w:val="0"/>
          <w:numId w:val="1012"/>
        </w:numPr>
      </w:pPr>
      <w:r>
        <w:t xml:space="preserve">The owner tags. They should name the documents you actually have.</w:t>
      </w:r>
    </w:p>
    <w:p>
      <w:pPr>
        <w:pStyle w:val="Compact"/>
        <w:numPr>
          <w:ilvl w:val="0"/>
          <w:numId w:val="1012"/>
        </w:numPr>
      </w:pPr>
      <w:r>
        <w:t xml:space="preserve">Row 10's ruleset, and row 1's boundary rules. Both are project-shaped by definition.</w:t>
      </w:r>
    </w:p>
    <w:p>
      <w:pPr>
        <w:pStyle w:val="Compact"/>
        <w:numPr>
          <w:ilvl w:val="0"/>
          <w:numId w:val="1012"/>
        </w:numPr>
      </w:pPr>
      <w:r>
        <w:t xml:space="preserve">The depth-tier names, if yours are clearer. Keep the property that every file gets exactly one.</w:t>
      </w:r>
    </w:p>
    <w:p>
      <w:pPr>
        <w:pStyle w:val="FirstParagraph"/>
      </w:pPr>
      <w:r>
        <w:rPr>
          <w:b/>
          <w:bCs/>
        </w:rPr>
        <w:t xml:space="preserve">Do not weaken: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tier split.</w:t>
      </w:r>
      <w:r>
        <w:t xml:space="preserve"> </w:t>
      </w:r>
      <w:r>
        <w:t xml:space="preserve">Tier 2 rows may never decide a verdict. Moving a measurement row into Tier 1</w:t>
      </w:r>
      <w:r>
        <w:t xml:space="preserve"> </w:t>
      </w:r>
      <w:r>
        <w:t xml:space="preserve">because it is easy to measure is the whole failure this rubric exists to prevent.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anti-metric rule.</w:t>
      </w:r>
      <w:r>
        <w:t xml:space="preserve"> </w:t>
      </w:r>
      <w:r>
        <w:t xml:space="preserve">A coverage floor or a complexity gate is a defect, not a stricter</w:t>
      </w:r>
      <w:r>
        <w:t xml:space="preserve"> </w:t>
      </w:r>
      <w:r>
        <w:t xml:space="preserve">standard.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receipt requirement.</w:t>
      </w:r>
      <w:r>
        <w:t xml:space="preserve"> </w:t>
      </w:r>
      <w:r>
        <w:t xml:space="preserve">No row is recorded as built without proof it examined something.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hedges on the citations.</w:t>
      </w:r>
      <w:r>
        <w:t xml:space="preserve"> </w:t>
      </w:r>
      <w:r>
        <w:t xml:space="preserve">Quoting a figure without its limitation is how a document loses</w:t>
      </w:r>
      <w:r>
        <w:t xml:space="preserve"> </w:t>
      </w:r>
      <w:r>
        <w:t xml:space="preserve">a reviewer who has read the paper.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"Unverified is not a pass."</w:t>
      </w:r>
      <w:r>
        <w:t xml:space="preserve"> </w:t>
      </w:r>
      <w:r>
        <w:t xml:space="preserve">An unscored row is an open question, not a quiet yes.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refuted list.</w:t>
      </w:r>
      <w:r>
        <w:t xml:space="preserve"> </w:t>
      </w:r>
      <w:r>
        <w:t xml:space="preserve">If you drop it, the surviving citations lose the thing that makes them worth</w:t>
      </w:r>
      <w:r>
        <w:t xml:space="preserve"> </w:t>
      </w:r>
      <w:r>
        <w:t xml:space="preserve">more than alarm-bell numbers.</w:t>
      </w:r>
    </w:p>
    <w:p>
      <w:pPr>
        <w:pStyle w:val="FirstParagraph"/>
      </w:pPr>
      <w:r>
        <w:rPr>
          <w:b/>
          <w:bCs/>
        </w:rPr>
        <w:t xml:space="preserve">Decide before you publish, not after:</w:t>
      </w:r>
      <w:r>
        <w:t xml:space="preserve"> </w:t>
      </w:r>
      <w:r>
        <w:t xml:space="preserve">whether your signal numbers will be cited from outside the</w:t>
      </w:r>
      <w:r>
        <w:t xml:space="preserve"> </w:t>
      </w:r>
      <w:r>
        <w:t xml:space="preserve">document. In the source rubric they were renumbered one revision after publication, which required</w:t>
      </w:r>
      <w:r>
        <w:t xml:space="preserve"> </w:t>
      </w:r>
      <w:r>
        <w:t xml:space="preserve">rewriting every cross-reference in the document and its appendices. The citation identifiers were</w:t>
      </w:r>
      <w:r>
        <w:t xml:space="preserve"> </w:t>
      </w:r>
      <w:r>
        <w:t xml:space="preserve">deliberately left alone, because they are citations rather than signals. If a number will be quoted</w:t>
      </w:r>
      <w:r>
        <w:t xml:space="preserve"> </w:t>
      </w:r>
      <w:r>
        <w:t xml:space="preserve">elsewhere, freeze it; if you must renumber, say which identifier families are frozen and which</w:t>
      </w:r>
      <w:r>
        <w:t xml:space="preserve"> </w:t>
      </w:r>
      <w:r>
        <w:t xml:space="preserve">moved, and rewrite every cross-reference in the same change.</w:t>
      </w:r>
    </w:p>
    <w:p>
      <w:r>
        <w:pict>
          <v:rect style="width:0;height:1.5pt" o:hralign="center" o:hrstd="t" o:hr="t"/>
        </w:pict>
      </w:r>
    </w:p>
    <w:bookmarkEnd w:id="60"/>
    <w:bookmarkStart w:id="61" w:name="in-one-table"/>
    <w:p>
      <w:pPr>
        <w:pStyle w:val="Heading2"/>
      </w:pPr>
      <w:r>
        <w:t xml:space="preserve">In one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Judge by the composite. Tier 1 decides; Tier 2 only starts a conversation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Unverified is not a pass. An unscored row is an open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</w:t>
            </w:r>
          </w:p>
        </w:tc>
        <w:tc>
          <w:tcPr/>
          <w:p>
            <w:pPr>
              <w:pStyle w:val="Compact"/>
            </w:pPr>
            <w:r>
              <w:t xml:space="preserve">A row is built only when a receipt proves it examined something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Never certify quality, or fail a build, on any single gameable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No validated universal threshold exists. Set yours, record it, label it project-set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Advisory findings are a delta against the merge base, annotated where the reviewer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Gating</w:t>
            </w:r>
          </w:p>
        </w:tc>
        <w:tc>
          <w:tcPr/>
          <w:p>
            <w:pPr>
              <w:pStyle w:val="Compact"/>
            </w:pPr>
            <w:r>
              <w:t xml:space="preserve">An outcome metric belongs in a delivery review, not an artefact rubric. Altitude, not distaste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Placing</w:t>
            </w:r>
          </w:p>
        </w:tc>
        <w:tc>
          <w:tcPr/>
          <w:p>
            <w:pPr>
              <w:pStyle w:val="Compact"/>
            </w:pPr>
            <w:r>
              <w:t xml:space="preserve">Cheap gates run in both places; expensive ones are pipeline-first but locally invocable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Placing</w:t>
            </w:r>
          </w:p>
        </w:tc>
        <w:tc>
          <w:tcPr/>
          <w:p>
            <w:pPr>
              <w:pStyle w:val="Compact"/>
            </w:pPr>
            <w:r>
              <w:t xml:space="preserve">The pipeline is authoritative. Local runs exist for fast feedback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Placing</w:t>
            </w:r>
          </w:p>
        </w:tc>
        <w:tc>
          <w:tcPr/>
          <w:p>
            <w:pPr>
              <w:pStyle w:val="Compact"/>
            </w:pPr>
            <w:r>
              <w:t xml:space="preserve">Re-derive placement after any repair -- a cost model built on a broken gate is fiction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Pin exact tool versions; no failure-swallowing operators; require a non-zero examined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Install gate tooling from a digest-recording lock, inside the same export machinery as the runtime locks. The declaration mechanism is ecosystem-specific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</w:t>
            </w:r>
          </w:p>
        </w:tc>
        <w:tc>
          <w:tcPr/>
          <w:p>
            <w:pPr>
              <w:pStyle w:val="Compact"/>
            </w:pPr>
            <w:r>
              <w:t xml:space="preserve">Carry the hedge with the claim, at the point of use, never in a footnote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Citing</w:t>
            </w:r>
          </w:p>
        </w:tc>
        <w:tc>
          <w:tcPr/>
          <w:p>
            <w:pPr>
              <w:pStyle w:val="Compact"/>
            </w:pPr>
            <w:r>
              <w:t xml:space="preserve">Publish what failed verification next to what 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Reviewing</w:t>
            </w:r>
          </w:p>
        </w:tc>
        <w:tc>
          <w:tcPr/>
          <w:p>
            <w:pPr>
              <w:pStyle w:val="Compact"/>
            </w:pPr>
            <w:r>
              <w:t xml:space="preserve">Classify every file into a depth tier and review to that tier. Publish the classification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Reviewing</w:t>
            </w:r>
          </w:p>
        </w:tc>
        <w:tc>
          <w:tcPr/>
          <w:p>
            <w:pPr>
              <w:pStyle w:val="Compact"/>
            </w:pPr>
            <w:r>
              <w:t xml:space="preserve">Review a trust boundary by its question set, not by reading the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Reviewing</w:t>
            </w:r>
          </w:p>
        </w:tc>
        <w:tc>
          <w:tcPr/>
          <w:p>
            <w:pPr>
              <w:pStyle w:val="Compact"/>
            </w:pPr>
            <w:r>
              <w:t xml:space="preserve">Anchor a review record to a symbol name. Line numbers drift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Reviewing</w:t>
            </w:r>
          </w:p>
        </w:tc>
        <w:tc>
          <w:tcPr/>
          <w:p>
            <w:pPr>
              <w:pStyle w:val="Compact"/>
            </w:pPr>
            <w:r>
              <w:t xml:space="preserve">Confirm the control plane first: present, blocking, green on the released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Reviewing</w:t>
            </w:r>
          </w:p>
        </w:tc>
        <w:tc>
          <w:tcPr/>
          <w:p>
            <w:pPr>
              <w:pStyle w:val="Compact"/>
            </w:pPr>
            <w:r>
              <w:t xml:space="preserve">Advisory jobs are not coverage. Count blocking jobs that run on the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Owning</w:t>
            </w:r>
          </w:p>
        </w:tc>
        <w:tc>
          <w:tcPr/>
          <w:p>
            <w:pPr>
              <w:pStyle w:val="Compact"/>
            </w:pPr>
            <w:r>
              <w:t xml:space="preserve">Every control names the document that owns it. Point at the owner; do not restate the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Owning</w:t>
            </w:r>
          </w:p>
        </w:tc>
        <w:tc>
          <w:tcPr/>
          <w:p>
            <w:pPr>
              <w:pStyle w:val="Compact"/>
            </w:pPr>
            <w:r>
              <w:t xml:space="preserve">A control with no failure mode is decoration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Owning</w:t>
            </w:r>
          </w:p>
        </w:tc>
        <w:tc>
          <w:tcPr/>
          <w:p>
            <w:pPr>
              <w:pStyle w:val="Compact"/>
            </w:pPr>
            <w:r>
              <w:t xml:space="preserve">Where review is self-review, record the deviation and name what compensates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6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CI and standards</w:t>
        </w:r>
      </w:hyperlink>
      <w:r>
        <w:t xml:space="preserve"> </w:t>
      </w:r>
      <w:r>
        <w:t xml:space="preserve">-- the metric table with its [external] tags, judging</w:t>
      </w:r>
      <w:r>
        <w:t xml:space="preserve"> </w:t>
      </w:r>
      <w:r>
        <w:t xml:space="preserve">tests by assertions, receipts and liveness, sibling-path enumeration, the allowlist rule for</w:t>
      </w:r>
      <w:r>
        <w:t xml:space="preserve"> </w:t>
      </w:r>
      <w:r>
        <w:t xml:space="preserve">published artefacts, and the claim-honesty register</w:t>
      </w:r>
    </w:p>
    <w:p>
      <w:pPr>
        <w:pStyle w:val="Compact"/>
        <w:numPr>
          <w:ilvl w:val="0"/>
          <w:numId w:val="1014"/>
        </w:numPr>
      </w:pPr>
      <w:hyperlink r:id="rId62">
        <w:r>
          <w:rPr>
            <w:rStyle w:val="Hyperlink"/>
          </w:rPr>
          <w:t xml:space="preserve">Tips and tricks</w:t>
        </w:r>
      </w:hyperlink>
      <w:r>
        <w:t xml:space="preserve"> </w:t>
      </w:r>
      <w:r>
        <w:t xml:space="preserve">-- sections 4 and 5, writing a guardrail and measuring</w:t>
      </w:r>
      <w:r>
        <w:t xml:space="preserve"> </w:t>
      </w:r>
      <w:r>
        <w:t xml:space="preserve">whether it works</w:t>
      </w:r>
    </w:p>
    <w:p>
      <w:pPr>
        <w:pStyle w:val="Compact"/>
        <w:numPr>
          <w:ilvl w:val="0"/>
          <w:numId w:val="1014"/>
        </w:numPr>
      </w:pPr>
      <w:hyperlink r:id="rId63">
        <w:r>
          <w:rPr>
            <w:rStyle w:val="Hyperlink"/>
          </w:rPr>
          <w:t xml:space="preserve">Case study: auditing a multi-session estate as one system</w:t>
        </w:r>
      </w:hyperlink>
      <w:r>
        <w:t xml:space="preserve"> </w:t>
      </w:r>
      <w:r>
        <w:t xml:space="preserve">--</w:t>
      </w:r>
      <w:r>
        <w:t xml:space="preserve"> </w:t>
      </w:r>
      <w:r>
        <w:t xml:space="preserve">proving a fix by deliberately mutating the shipped artefact</w:t>
      </w:r>
    </w:p>
    <w:p>
      <w:pPr>
        <w:pStyle w:val="Compact"/>
        <w:numPr>
          <w:ilvl w:val="0"/>
          <w:numId w:val="1014"/>
        </w:numPr>
      </w:pPr>
      <w:hyperlink r:id="rId64">
        <w:r>
          <w:rPr>
            <w:rStyle w:val="Hyperlink"/>
          </w:rPr>
          <w:t xml:space="preserve">Running a large security-standard assessment with AI agents</w:t>
        </w:r>
      </w:hyperlink>
      <w:r>
        <w:t xml:space="preserve"> </w:t>
      </w:r>
      <w:r>
        <w:t xml:space="preserve">-- verdict</w:t>
      </w:r>
      <w:r>
        <w:t xml:space="preserve"> </w:t>
      </w:r>
      <w:r>
        <w:t xml:space="preserve">vocabularies, evidence anchors, corpus pinning, and how to read a movement in a score</w:t>
      </w:r>
    </w:p>
    <w:p>
      <w:pPr>
        <w:pStyle w:val="Compact"/>
        <w:numPr>
          <w:ilvl w:val="0"/>
          <w:numId w:val="1014"/>
        </w:numPr>
      </w:pPr>
      <w:hyperlink r:id="rId65">
        <w:r>
          <w:rPr>
            <w:rStyle w:val="Hyperlink"/>
          </w:rPr>
          <w:t xml:space="preserve">The leak gate</w:t>
        </w:r>
      </w:hyperlink>
      <w:r>
        <w:t xml:space="preserve"> </w:t>
      </w:r>
      <w:r>
        <w:t xml:space="preserve">-- the three ways a scanner lies, and the blind spot no scanner</w:t>
      </w:r>
      <w:r>
        <w:t xml:space="preserve"> </w:t>
      </w:r>
      <w:r>
        <w:t xml:space="preserve">closes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../ASVS-ASSESSMENT.md" TargetMode="External" /><Relationship Type="http://schemas.openxmlformats.org/officeDocument/2006/relationships/hyperlink" Id="rId63" Target="../CASE-STUDY-drift-audit.md" TargetMode="External" /><Relationship Type="http://schemas.openxmlformats.org/officeDocument/2006/relationships/hyperlink" Id="rId53" Target="../CI-AND-STANDARDS.md" TargetMode="External" /><Relationship Type="http://schemas.openxmlformats.org/officeDocument/2006/relationships/hyperlink" Id="rId43" Target="../CI-AND-STANDARDS.md#a-check-that-cannot-fail-is-not-a-control" TargetMode="External" /><Relationship Type="http://schemas.openxmlformats.org/officeDocument/2006/relationships/hyperlink" Id="rId41" Target="../CI-AND-STANDARDS.md#a-cost-model-built-on-a-broken-gate-is-fiction" TargetMode="External" /><Relationship Type="http://schemas.openxmlformats.org/officeDocument/2006/relationships/hyperlink" Id="rId57" Target="../CI-AND-STANDARDS.md#blocking-and-advisory-are-not-the-same-coverage" TargetMode="External" /><Relationship Type="http://schemas.openxmlformats.org/officeDocument/2006/relationships/hyperlink" Id="rId47" Target="../CI-AND-STANDARDS.md#constrain-every-install-site-from-a-checked-in-lock" TargetMode="External" /><Relationship Type="http://schemas.openxmlformats.org/officeDocument/2006/relationships/hyperlink" Id="rId37" Target="../CI-AND-STANDARDS.md#enumerate-sibling-paths-for-every-control" TargetMode="External" /><Relationship Type="http://schemas.openxmlformats.org/officeDocument/2006/relationships/hyperlink" Id="rId49" Target="../CI-AND-STANDARDS.md#grandfather-to-a-clean-baseline-then-ratchet" TargetMode="External" /><Relationship Type="http://schemas.openxmlformats.org/officeDocument/2006/relationships/hyperlink" Id="rId19" Target="../CI-AND-STANDARDS.md#judge-tests-by-their-assertions-not-their-presence-or-their-coverage" TargetMode="External" /><Relationship Type="http://schemas.openxmlformats.org/officeDocument/2006/relationships/hyperlink" Id="rId18" Target="../CI-AND-STANDARDS.md#never-gate-on-a-single-gameable-number" TargetMode="External" /><Relationship Type="http://schemas.openxmlformats.org/officeDocument/2006/relationships/hyperlink" Id="rId21" Target="../CI-AND-STANDARDS.md#one-coherent-layer-per-commit" TargetMode="External" /><Relationship Type="http://schemas.openxmlformats.org/officeDocument/2006/relationships/hyperlink" Id="rId39" Target="../CI-AND-STANDARDS.md#one-gate-command-three-call-sites" TargetMode="External" /><Relationship Type="http://schemas.openxmlformats.org/officeDocument/2006/relationships/hyperlink" Id="rId17" Target="../CI-AND-STANDARDS.md#package-manifests-are-allowlists-not-sweeps" TargetMode="External" /><Relationship Type="http://schemas.openxmlformats.org/officeDocument/2006/relationships/hyperlink" Id="rId15" Target="../CI-AND-STANDARDS.md#receipts-count-what-the-check-examined-never-what-it-found" TargetMode="External" /><Relationship Type="http://schemas.openxmlformats.org/officeDocument/2006/relationships/hyperlink" Id="rId34" Target="../CI-AND-STANDARDS.md#run-a-refutation-pass-on-any-number-you-are-about-to-build-a-rule-on" TargetMode="External" /><Relationship Type="http://schemas.openxmlformats.org/officeDocument/2006/relationships/hyperlink" Id="rId13" Target="../CI-AND-STANDARDS.md#there-is-no-validated-universal-threshold" TargetMode="External" /><Relationship Type="http://schemas.openxmlformats.org/officeDocument/2006/relationships/hyperlink" Id="rId31" Target="../CI-AND-STANDARDS.md#verify-a-dependency-before-adding-it-and-know-what-verification-cannot-see" TargetMode="External" /><Relationship Type="http://schemas.openxmlformats.org/officeDocument/2006/relationships/hyperlink" Id="rId65" Target="../LEAK-GATE.md" TargetMode="External" /><Relationship Type="http://schemas.openxmlformats.org/officeDocument/2006/relationships/hyperlink" Id="rId62" Target="../TIPS-AND-TRICKS.md" TargetMode="External" /><Relationship Type="http://schemas.openxmlformats.org/officeDocument/2006/relationships/hyperlink" Id="rId11" Target="OVERVIEW.md#download-every-file" TargetMode="External" /><Relationship Type="http://schemas.openxmlformats.org/officeDocument/2006/relationships/hyperlink" Id="rId26" Target="https://arxiv.org/abs/1908.11590" TargetMode="External" /><Relationship Type="http://schemas.openxmlformats.org/officeDocument/2006/relationships/hyperlink" Id="rId24" Target="https://arxiv.org/abs/1912.01142" TargetMode="External" /><Relationship Type="http://schemas.openxmlformats.org/officeDocument/2006/relationships/hyperlink" Id="rId28" Target="https://arxiv.org/abs/2211.03622" TargetMode="External" /><Relationship Type="http://schemas.openxmlformats.org/officeDocument/2006/relationships/hyperlink" Id="rId25" Target="https://doi.org/10.1016/j.jss.2022.111561" TargetMode="External" /><Relationship Type="http://schemas.openxmlformats.org/officeDocument/2006/relationships/hyperlink" Id="rId27" Target="https://doi.org/10.1145/3180155.3180183" TargetMode="External" /><Relationship Type="http://schemas.openxmlformats.org/officeDocument/2006/relationships/hyperlink" Id="rId30" Target="https://dora.dev/research/2024/" TargetMode="External" /><Relationship Type="http://schemas.openxmlformats.org/officeDocument/2006/relationships/hyperlink" Id="rId9" Target="https://raw.githubusercontent.com/wshallwshall/claude-multisession/main/docs/standards/CODE-QUALITY.md" TargetMode="External" /><Relationship Type="http://schemas.openxmlformats.org/officeDocument/2006/relationships/hyperlink" Id="rId10" Target="https://raw.githubusercontent.com/wshallwshall/claude-multisession/main/docs/standards/word/CODE-QUALITY.docx" TargetMode="External" /><Relationship Type="http://schemas.openxmlformats.org/officeDocument/2006/relationships/hyperlink" Id="rId29" Target="https://www.gitclear.com/ai_assistant_code_quality_2025_resear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../ASVS-ASSESSMENT.md" TargetMode="External" /><Relationship Type="http://schemas.openxmlformats.org/officeDocument/2006/relationships/hyperlink" Id="rId63" Target="../CASE-STUDY-drift-audit.md" TargetMode="External" /><Relationship Type="http://schemas.openxmlformats.org/officeDocument/2006/relationships/hyperlink" Id="rId53" Target="../CI-AND-STANDARDS.md" TargetMode="External" /><Relationship Type="http://schemas.openxmlformats.org/officeDocument/2006/relationships/hyperlink" Id="rId43" Target="../CI-AND-STANDARDS.md#a-check-that-cannot-fail-is-not-a-control" TargetMode="External" /><Relationship Type="http://schemas.openxmlformats.org/officeDocument/2006/relationships/hyperlink" Id="rId41" Target="../CI-AND-STANDARDS.md#a-cost-model-built-on-a-broken-gate-is-fiction" TargetMode="External" /><Relationship Type="http://schemas.openxmlformats.org/officeDocument/2006/relationships/hyperlink" Id="rId57" Target="../CI-AND-STANDARDS.md#blocking-and-advisory-are-not-the-same-coverage" TargetMode="External" /><Relationship Type="http://schemas.openxmlformats.org/officeDocument/2006/relationships/hyperlink" Id="rId47" Target="../CI-AND-STANDARDS.md#constrain-every-install-site-from-a-checked-in-lock" TargetMode="External" /><Relationship Type="http://schemas.openxmlformats.org/officeDocument/2006/relationships/hyperlink" Id="rId37" Target="../CI-AND-STANDARDS.md#enumerate-sibling-paths-for-every-control" TargetMode="External" /><Relationship Type="http://schemas.openxmlformats.org/officeDocument/2006/relationships/hyperlink" Id="rId49" Target="../CI-AND-STANDARDS.md#grandfather-to-a-clean-baseline-then-ratchet" TargetMode="External" /><Relationship Type="http://schemas.openxmlformats.org/officeDocument/2006/relationships/hyperlink" Id="rId19" Target="../CI-AND-STANDARDS.md#judge-tests-by-their-assertions-not-their-presence-or-their-coverage" TargetMode="External" /><Relationship Type="http://schemas.openxmlformats.org/officeDocument/2006/relationships/hyperlink" Id="rId18" Target="../CI-AND-STANDARDS.md#never-gate-on-a-single-gameable-number" TargetMode="External" /><Relationship Type="http://schemas.openxmlformats.org/officeDocument/2006/relationships/hyperlink" Id="rId21" Target="../CI-AND-STANDARDS.md#one-coherent-layer-per-commit" TargetMode="External" /><Relationship Type="http://schemas.openxmlformats.org/officeDocument/2006/relationships/hyperlink" Id="rId39" Target="../CI-AND-STANDARDS.md#one-gate-command-three-call-sites" TargetMode="External" /><Relationship Type="http://schemas.openxmlformats.org/officeDocument/2006/relationships/hyperlink" Id="rId17" Target="../CI-AND-STANDARDS.md#package-manifests-are-allowlists-not-sweeps" TargetMode="External" /><Relationship Type="http://schemas.openxmlformats.org/officeDocument/2006/relationships/hyperlink" Id="rId15" Target="../CI-AND-STANDARDS.md#receipts-count-what-the-check-examined-never-what-it-found" TargetMode="External" /><Relationship Type="http://schemas.openxmlformats.org/officeDocument/2006/relationships/hyperlink" Id="rId34" Target="../CI-AND-STANDARDS.md#run-a-refutation-pass-on-any-number-you-are-about-to-build-a-rule-on" TargetMode="External" /><Relationship Type="http://schemas.openxmlformats.org/officeDocument/2006/relationships/hyperlink" Id="rId13" Target="../CI-AND-STANDARDS.md#there-is-no-validated-universal-threshold" TargetMode="External" /><Relationship Type="http://schemas.openxmlformats.org/officeDocument/2006/relationships/hyperlink" Id="rId31" Target="../CI-AND-STANDARDS.md#verify-a-dependency-before-adding-it-and-know-what-verification-cannot-see" TargetMode="External" /><Relationship Type="http://schemas.openxmlformats.org/officeDocument/2006/relationships/hyperlink" Id="rId65" Target="../LEAK-GATE.md" TargetMode="External" /><Relationship Type="http://schemas.openxmlformats.org/officeDocument/2006/relationships/hyperlink" Id="rId62" Target="../TIPS-AND-TRICKS.md" TargetMode="External" /><Relationship Type="http://schemas.openxmlformats.org/officeDocument/2006/relationships/hyperlink" Id="rId11" Target="OVERVIEW.md#download-every-file" TargetMode="External" /><Relationship Type="http://schemas.openxmlformats.org/officeDocument/2006/relationships/hyperlink" Id="rId26" Target="https://arxiv.org/abs/1908.11590" TargetMode="External" /><Relationship Type="http://schemas.openxmlformats.org/officeDocument/2006/relationships/hyperlink" Id="rId24" Target="https://arxiv.org/abs/1912.01142" TargetMode="External" /><Relationship Type="http://schemas.openxmlformats.org/officeDocument/2006/relationships/hyperlink" Id="rId28" Target="https://arxiv.org/abs/2211.03622" TargetMode="External" /><Relationship Type="http://schemas.openxmlformats.org/officeDocument/2006/relationships/hyperlink" Id="rId25" Target="https://doi.org/10.1016/j.jss.2022.111561" TargetMode="External" /><Relationship Type="http://schemas.openxmlformats.org/officeDocument/2006/relationships/hyperlink" Id="rId27" Target="https://doi.org/10.1145/3180155.3180183" TargetMode="External" /><Relationship Type="http://schemas.openxmlformats.org/officeDocument/2006/relationships/hyperlink" Id="rId30" Target="https://dora.dev/research/2024/" TargetMode="External" /><Relationship Type="http://schemas.openxmlformats.org/officeDocument/2006/relationships/hyperlink" Id="rId9" Target="https://raw.githubusercontent.com/wshallwshall/claude-multisession/main/docs/standards/CODE-QUALITY.md" TargetMode="External" /><Relationship Type="http://schemas.openxmlformats.org/officeDocument/2006/relationships/hyperlink" Id="rId10" Target="https://raw.githubusercontent.com/wshallwshall/claude-multisession/main/docs/standards/word/CODE-QUALITY.docx" TargetMode="External" /><Relationship Type="http://schemas.openxmlformats.org/officeDocument/2006/relationships/hyperlink" Id="rId29" Target="https://www.gitclear.com/ai_assistant_code_quality_2025_resear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2026-08-06T00:36:23Z</dcterms:created>
  <dcterms:modified xsi:type="dcterms:W3CDTF">2026-08-06T00:36:23Z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