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Xc4266042f61b8b129a9b13fd84e08e788fd59dd"/>
    <w:p>
      <w:pPr>
        <w:pStyle w:val="Heading1"/>
      </w:pPr>
      <w:r>
        <w:t xml:space="preserve">What to ask a software vendor for, and what each answer proves</w:t>
      </w:r>
    </w:p>
    <w:p>
      <w:pPr>
        <w:pStyle w:val="FirstParagraph"/>
      </w:pPr>
      <w:r>
        <w:rPr>
          <w:b/>
          <w:bCs/>
        </w:rPr>
        <w:t xml:space="preserve">The mirror of the standards map: that one answers which of these reach you, this one answers what</w:t>
      </w:r>
      <w:r>
        <w:rPr>
          <w:b/>
          <w:bCs/>
        </w:rPr>
        <w:t xml:space="preserve"> </w:t>
      </w:r>
      <w:r>
        <w:rPr>
          <w:b/>
          <w:bCs/>
        </w:rPr>
        <w:t xml:space="preserve">a buyer will ask you to produce -- and what each item actually proves.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3" w:name="the-mistake-this-page-exists-to-prevent"/>
    <w:p>
      <w:pPr>
        <w:pStyle w:val="Heading2"/>
      </w:pPr>
      <w:r>
        <w:t xml:space="preserve">The mistake this page exists to prevent</w:t>
      </w:r>
    </w:p>
    <w:p>
      <w:pPr>
        <w:pStyle w:val="FirstParagraph"/>
      </w:pPr>
      <w:r>
        <w:t xml:space="preserve">The commonest failure in vendor diligence is accepting organization-layer evidence as software-layer</w:t>
      </w:r>
      <w:r>
        <w:t xml:space="preserve"> </w:t>
      </w:r>
      <w:r>
        <w:t xml:space="preserve">evidence. A buyer asks for an audit report or a certificate, receives one, and reads it as an answer</w:t>
      </w:r>
      <w:r>
        <w:t xml:space="preserve"> </w:t>
      </w:r>
      <w:r>
        <w:t xml:space="preserve">about the product. It is not. The examination looked at how a company runs itself -- its policies,</w:t>
      </w:r>
      <w:r>
        <w:t xml:space="preserve"> </w:t>
      </w:r>
      <w:r>
        <w:t xml:space="preserve">its access reviews, its change management -- and never opened the code. A vendor can hold a flawless</w:t>
      </w:r>
      <w:r>
        <w:t xml:space="preserve"> </w:t>
      </w:r>
      <w:r>
        <w:t xml:space="preserve">report across a full twelve-month period and ship software with an authorization flaw in it, and</w:t>
      </w:r>
      <w:r>
        <w:t xml:space="preserve"> </w:t>
      </w:r>
      <w:r>
        <w:t xml:space="preserve">nothing in the report is false.</w:t>
      </w:r>
    </w:p>
    <w:p>
      <w:pPr>
        <w:pStyle w:val="BodyText"/>
      </w:pPr>
      <w:r>
        <w:t xml:space="preserve">That is not a reason to dismiss these instruments. They establish that a company has a functioning</w:t>
      </w:r>
      <w:r>
        <w:t xml:space="preserve"> </w:t>
      </w:r>
      <w:r>
        <w:t xml:space="preserve">security program, which is a real thing to know and worth paying for. A vendor with none of them is</w:t>
      </w:r>
      <w:r>
        <w:t xml:space="preserve"> </w:t>
      </w:r>
      <w:r>
        <w:t xml:space="preserve">a different risk entirely. The failure is narrower: reading a program attestation as an answer to</w:t>
      </w:r>
      <w:r>
        <w:t xml:space="preserve"> </w:t>
      </w:r>
      <w:r>
        <w:t xml:space="preserve">"is this product secure", when no part of it asked that question.</w:t>
      </w:r>
    </w:p>
    <w:p>
      <w:pPr>
        <w:pStyle w:val="BodyText"/>
      </w:pPr>
      <w:r>
        <w:t xml:space="preserve">So the groups below are sorted by layer, which is the cut that makes the mistake visible: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Organization layer</w:t>
      </w:r>
      <w:r>
        <w:t xml:space="preserve"> </w:t>
      </w:r>
      <w:r>
        <w:t xml:space="preserve">-- evidence about the company.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Software layer</w:t>
      </w:r>
      <w:r>
        <w:t xml:space="preserve"> </w:t>
      </w:r>
      <w:r>
        <w:t xml:space="preserve">-- evidence about the thing you are buying.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Legal instruments</w:t>
      </w:r>
      <w:r>
        <w:t xml:space="preserve"> </w:t>
      </w:r>
      <w:r>
        <w:t xml:space="preserve">-- evidence about who pays when it goes wrong.</w:t>
      </w:r>
    </w:p>
    <w:p>
      <w:pPr>
        <w:pStyle w:val="FirstParagraph"/>
      </w:pPr>
      <w:r>
        <w:t xml:space="preserve">Every row carries what it proves, what it does not prove, and the one question that makes it useful.</w:t>
      </w:r>
      <w:r>
        <w:t xml:space="preserve"> </w:t>
      </w:r>
      <w:r>
        <w:t xml:space="preserve">These are at least the items a buyer commonly asks for, not a complete list. Statuses, versions and</w:t>
      </w:r>
      <w:r>
        <w:t xml:space="preserve"> </w:t>
      </w:r>
      <w:r>
        <w:t xml:space="preserve">dates live on the landscape and reference pages, each carrying the date it was checked; this page</w:t>
      </w:r>
      <w:r>
        <w:t xml:space="preserve"> </w:t>
      </w:r>
      <w:r>
        <w:t xml:space="preserve">carries none, on purpose, so that it does not rot. For the producer's side of the same cut, see</w:t>
      </w:r>
      <w:r>
        <w:t xml:space="preserve"> </w:t>
      </w:r>
      <w:hyperlink r:id="rId12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organization layer is not the software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layer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Xe00b8717199ecc89f5e45a0b6bc81dc144fdf81"/>
    <w:p>
      <w:pPr>
        <w:pStyle w:val="Heading2"/>
      </w:pPr>
      <w:r>
        <w:t xml:space="preserve">Organization layer: evidence about the company</w:t>
      </w:r>
    </w:p>
    <w:p>
      <w:pPr>
        <w:pStyle w:val="FirstParagraph"/>
      </w:pPr>
      <w:r>
        <w:t xml:space="preserve">These are the instruments a procurement team already knows how to ask for, and the only layer where</w:t>
      </w:r>
      <w:r>
        <w:t xml:space="preserve"> </w:t>
      </w:r>
      <w:r>
        <w:t xml:space="preserve">a third party has independently looked at anything. At least these five, and one caveat governs all</w:t>
      </w:r>
      <w:r>
        <w:t xml:space="preserve"> </w:t>
      </w:r>
      <w:r>
        <w:t xml:space="preserve">of them: if what you are buying is software you install and run yourself, the product can sit</w:t>
      </w:r>
      <w:r>
        <w:t xml:space="preserve"> </w:t>
      </w:r>
      <w:r>
        <w:t xml:space="preserve">entirely outside the scope boundary of every row below. The scope statement will say so plainly,</w:t>
      </w:r>
      <w:r>
        <w:t xml:space="preserve"> </w:t>
      </w:r>
      <w:r>
        <w:t xml:space="preserve">which is why the fourth column is the column that matters.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What it does not prove</w:t>
            </w:r>
          </w:p>
        </w:tc>
        <w:tc>
          <w:tcPr/>
          <w:p>
            <w:pPr>
              <w:pStyle w:val="Compact"/>
            </w:pPr>
            <w:r>
              <w:t xml:space="preserve">The one question that makes it useful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 examination report, point-in-time (SOC 2 Type I)</w:t>
            </w:r>
          </w:p>
        </w:tc>
        <w:tc>
          <w:tcPr/>
          <w:p>
            <w:pPr>
              <w:pStyle w:val="Compact"/>
            </w:pPr>
            <w:r>
              <w:t xml:space="preserve">A licensed firm's opinion that controls were suitably designed as of one date</w:t>
            </w:r>
          </w:p>
        </w:tc>
        <w:tc>
          <w:tcPr/>
          <w:p>
            <w:pPr>
              <w:pStyle w:val="Compact"/>
            </w:pPr>
            <w:r>
              <w:t xml:space="preserve">That any control ever operated. It observed a design, not a period of behavior, and it looked at the organization rather than the code</w:t>
            </w:r>
          </w:p>
        </w:tc>
        <w:tc>
          <w:tcPr/>
          <w:p>
            <w:pPr>
              <w:pStyle w:val="Compact"/>
            </w:pPr>
            <w:r>
              <w:t xml:space="preserve">Why Type I rather than Type II, and when does the first Type II period end?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 examination report over a period (SOC 2 Type II)</w:t>
            </w:r>
          </w:p>
        </w:tc>
        <w:tc>
          <w:tcPr/>
          <w:p>
            <w:pPr>
              <w:pStyle w:val="Compact"/>
            </w:pPr>
            <w:r>
              <w:t xml:space="preserve">A licensed firm's opinion on operating effectiveness across a period, typically six to twelve months, against the Trust Services Criteria the vendor elected</w:t>
            </w:r>
          </w:p>
        </w:tc>
        <w:tc>
          <w:tcPr/>
          <w:p>
            <w:pPr>
              <w:pStyle w:val="Compact"/>
            </w:pPr>
            <w:r>
              <w:t xml:space="preserve">It is an attestation report, not a certificate -- there is no pass mark. If what you buy is distributed software rather than a hosted service, the product can sit outside the scope boundary</w:t>
            </w:r>
          </w:p>
        </w:tc>
        <w:tc>
          <w:tcPr/>
          <w:p>
            <w:pPr>
              <w:pStyle w:val="Compact"/>
            </w:pPr>
            <w:r>
              <w:t xml:space="preserve">Read the scope statement and the listed exceptions. A report with no exceptions across twelve months is unusual enough to ask about, and the cover page tells you 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management-system certificate (ISO/IEC 27001)</w:t>
            </w:r>
          </w:p>
        </w:tc>
        <w:tc>
          <w:tcPr/>
          <w:p>
            <w:pPr>
              <w:pStyle w:val="Compact"/>
            </w:pPr>
            <w:r>
              <w:t xml:space="preserve">That an accredited certification body certified an information security management system for a stated scope. The standards publisher itself issues nothing</w:t>
            </w:r>
          </w:p>
        </w:tc>
        <w:tc>
          <w:tcPr/>
          <w:p>
            <w:pPr>
              <w:pStyle w:val="Compact"/>
            </w:pPr>
            <w:r>
              <w:t xml:space="preserve">It is not "the international SOC 2" -- a different instrument with a different failure mode, an opinion plus exceptions versus a certificate plus a scope statement. It certifies a management system, not a product</w:t>
            </w:r>
          </w:p>
        </w:tc>
        <w:tc>
          <w:tcPr/>
          <w:p>
            <w:pPr>
              <w:pStyle w:val="Compact"/>
            </w:pPr>
            <w:r>
              <w:t xml:space="preserve">Read the scope statement on the certificate, and ask which body accredited the certifier. A scope covering one office or one business unit is common, and is not what the reader assumes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validated assessment of controls and environment (HITRUST CSF)</w:t>
            </w:r>
          </w:p>
        </w:tc>
        <w:tc>
          <w:tcPr/>
          <w:p>
            <w:pPr>
              <w:pStyle w:val="Compact"/>
            </w:pPr>
            <w:r>
              <w:t xml:space="preserve">A third-party validated result at one of three named tiers -- e1, i1 and r2 -- which are not interchangeable</w:t>
            </w:r>
          </w:p>
        </w:tc>
        <w:tc>
          <w:tcPr/>
          <w:p>
            <w:pPr>
              <w:pStyle w:val="Compact"/>
            </w:pPr>
            <w:r>
              <w:t xml:space="preserve">What is assessed is an organization's controls and environment. The environment operating software can be assessed; distributable software itself is not what gets certified</w:t>
            </w:r>
          </w:p>
        </w:tc>
        <w:tc>
          <w:tcPr/>
          <w:p>
            <w:pPr>
              <w:pStyle w:val="Compact"/>
            </w:pPr>
            <w:r>
              <w:t xml:space="preserve">Which tier, and what was in scope? The lower tiers are published as fixed core control sets while the highest is tailored and risk-based, so a tier name alone does not say how much was assessed. Ask for tier and scope, not control text -- the framework's text is licensed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and program instruments, as a set</w:t>
            </w:r>
          </w:p>
        </w:tc>
        <w:tc>
          <w:tcPr/>
          <w:p>
            <w:pPr>
              <w:pStyle w:val="Compact"/>
            </w:pPr>
            <w:r>
              <w:t xml:space="preserve">That the operating environment for a named offering was assessed against that program's own rules: payment-card validation documents, a federal or state-and-local cloud program authorization, a law-enforcement-data policy audit</w:t>
            </w:r>
          </w:p>
        </w:tc>
        <w:tc>
          <w:tcPr/>
          <w:p>
            <w:pPr>
              <w:pStyle w:val="Compact"/>
            </w:pPr>
            <w:r>
              <w:t xml:space="preserve">Anything about software you install and run yourself. The body that writes such a standard is often not the body that sets your validation requirement</w:t>
            </w:r>
          </w:p>
        </w:tc>
        <w:tc>
          <w:tcPr/>
          <w:p>
            <w:pPr>
              <w:pStyle w:val="Compact"/>
            </w:pPr>
            <w:r>
              <w:t xml:space="preserve">Which offering was in scope, and is the offering you are buying the one that was named?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7" w:name="X4d8870e3efb0a55c27ab68f184d5d94a4b36305"/>
    <w:p>
      <w:pPr>
        <w:pStyle w:val="Heading2"/>
      </w:pPr>
      <w:r>
        <w:t xml:space="preserve">Software layer: evidence about the thing you are buying</w:t>
      </w:r>
    </w:p>
    <w:p>
      <w:pPr>
        <w:pStyle w:val="FirstParagraph"/>
      </w:pPr>
      <w:r>
        <w:t xml:space="preserve">Nothing in the group above examined the code or the build. These four do, and none of them is issued</w:t>
      </w:r>
      <w:r>
        <w:t xml:space="preserve"> </w:t>
      </w:r>
      <w:r>
        <w:t xml:space="preserve">by anybody -- the vendor produces them, so the question is always how they were produced. At least</w:t>
      </w:r>
      <w:r>
        <w:t xml:space="preserve"> </w:t>
      </w:r>
      <w:r>
        <w:t xml:space="preserve">these four. This site publishes the producer-side control behind three of them; the rows link out</w:t>
      </w:r>
      <w:r>
        <w:t xml:space="preserve"> </w:t>
      </w:r>
      <w:r>
        <w:t xml:space="preserve">rather than restating it here.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What it does not prove</w:t>
            </w:r>
          </w:p>
        </w:tc>
        <w:tc>
          <w:tcPr/>
          <w:p>
            <w:pPr>
              <w:pStyle w:val="Compact"/>
            </w:pPr>
            <w:r>
              <w:t xml:space="preserve">The one question that makes it useful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software bill of materials</w:t>
            </w:r>
          </w:p>
        </w:tc>
        <w:tc>
          <w:tcPr/>
          <w:p>
            <w:pPr>
              <w:pStyle w:val="Compact"/>
            </w:pPr>
            <w:r>
              <w:t xml:space="preserve">Which components are in the build</w:t>
            </w:r>
          </w:p>
        </w:tc>
        <w:tc>
          <w:tcPr/>
          <w:p>
            <w:pPr>
              <w:pStyle w:val="Compact"/>
            </w:pPr>
            <w:r>
              <w:t xml:space="preserve">Whether any of it is exploitable in the configuration you will run. An SBOM establishes what is in the build, never that it is safe, and a conforming one can still be inaccurate</w:t>
            </w:r>
          </w:p>
        </w:tc>
        <w:tc>
          <w:tcPr/>
          <w:p>
            <w:pPr>
              <w:pStyle w:val="Compact"/>
            </w:pPr>
            <w:r>
              <w:t xml:space="preserve">Is it generated by the build for the exact released artifact, or hand-maintained? And for a hosted platform, is it an SBOM of the runtime production environment rather than a build-time source manifest -- a distinction a US federal memorandum of 2026-01-23 drew in a footnote. Producer side: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Dependency integrity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data flow diagram</w:t>
            </w:r>
          </w:p>
        </w:tc>
        <w:tc>
          <w:tcPr/>
          <w:p>
            <w:pPr>
              <w:pStyle w:val="Compact"/>
            </w:pPr>
            <w:r>
              <w:t xml:space="preserve">Where data crosses a trust boundary, which is where a control has to exist and where a threat model becomes checkable</w:t>
            </w:r>
          </w:p>
        </w:tc>
        <w:tc>
          <w:tcPr/>
          <w:p>
            <w:pPr>
              <w:pStyle w:val="Compact"/>
            </w:pPr>
            <w:r>
              <w:t xml:space="preserve">Anything at all, if the boundaries are not marked. A data flow diagram without marked trust boundaries is a diagram, not a security artifact</w:t>
            </w:r>
          </w:p>
        </w:tc>
        <w:tc>
          <w:tcPr/>
          <w:p>
            <w:pPr>
              <w:pStyle w:val="Compact"/>
            </w:pPr>
            <w:r>
              <w:t xml:space="preserve">Which boundaries are marked, and which control sits on each one? Producer side: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Secure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Cryptography documentation</w:t>
            </w:r>
          </w:p>
        </w:tc>
        <w:tc>
          <w:tcPr/>
          <w:p>
            <w:pPr>
              <w:pStyle w:val="Compact"/>
            </w:pPr>
            <w:r>
              <w:t xml:space="preserve">Which algorithms and modes are used, and where data is encrypted in transit and at rest</w:t>
            </w:r>
          </w:p>
        </w:tc>
        <w:tc>
          <w:tcPr/>
          <w:p>
            <w:pPr>
              <w:pStyle w:val="Compact"/>
            </w:pPr>
            <w:r>
              <w:t xml:space="preserve">Key management. "AES-256" names an algorithm, not a key lifecycle</w:t>
            </w:r>
          </w:p>
        </w:tc>
        <w:tc>
          <w:tcPr/>
          <w:p>
            <w:pPr>
              <w:pStyle w:val="Compact"/>
            </w:pPr>
            <w:r>
              <w:t xml:space="preserve">Who holds the keys, where do they live, and what happens on rotation and on revocation?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 evidence</w:t>
            </w:r>
          </w:p>
        </w:tc>
        <w:tc>
          <w:tcPr/>
          <w:p>
            <w:pPr>
              <w:pStyle w:val="Compact"/>
            </w:pPr>
            <w:r>
              <w:t xml:space="preserve">That a named class of defect was looked for, by a named method, on a named date and against a named version</w:t>
            </w:r>
          </w:p>
        </w:tc>
        <w:tc>
          <w:tcPr/>
          <w:p>
            <w:pPr>
              <w:pStyle w:val="Compact"/>
            </w:pPr>
            <w:r>
              <w:t xml:space="preserve">The absence of anything. Static analysis and dynamic testing find different classes of defect, and neither substitutes for the other</w:t>
            </w:r>
          </w:p>
        </w:tc>
        <w:tc>
          <w:tcPr/>
          <w:p>
            <w:pPr>
              <w:pStyle w:val="Compact"/>
            </w:pPr>
            <w:r>
              <w:t xml:space="preserve">What was in scope, which version was tested, and what triggers the next run -- a change, or a date on a calendar? Producer side: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Secure development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X47b6f90d36b143c14e13657501074bc075993f0"/>
    <w:p>
      <w:pPr>
        <w:pStyle w:val="Heading2"/>
      </w:pPr>
      <w:r>
        <w:t xml:space="preserve">Legal instruments: evidence about who pays when it goes wrong</w:t>
      </w:r>
    </w:p>
    <w:p>
      <w:pPr>
        <w:pStyle w:val="FirstParagraph"/>
      </w:pPr>
      <w:r>
        <w:t xml:space="preserve">These allocate liability; they do not establish security. A complete set of them tells you what</w:t>
      </w:r>
      <w:r>
        <w:t xml:space="preserve"> </w:t>
      </w:r>
      <w:r>
        <w:t xml:space="preserve">happens after a failure and nothing about its likelihood. Read them for their clock definitions and</w:t>
      </w:r>
      <w:r>
        <w:t xml:space="preserve"> </w:t>
      </w:r>
      <w:r>
        <w:t xml:space="preserve">notification paths, which is where they are weakest and always checkable. At least these three.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What it does not prove</w:t>
            </w:r>
          </w:p>
        </w:tc>
        <w:tc>
          <w:tcPr/>
          <w:p>
            <w:pPr>
              <w:pStyle w:val="Compact"/>
            </w:pPr>
            <w:r>
              <w:t xml:space="preserve">The one question that makes it useful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vulnerability remediation commitment (the SLA)</w:t>
            </w:r>
          </w:p>
        </w:tc>
        <w:tc>
          <w:tcPr/>
          <w:p>
            <w:pPr>
              <w:pStyle w:val="Compact"/>
            </w:pPr>
            <w:r>
              <w:t xml:space="preserve">An agreed maximum elapsed time, and a contractual remedy if it is missed</w:t>
            </w:r>
          </w:p>
        </w:tc>
        <w:tc>
          <w:tcPr/>
          <w:p>
            <w:pPr>
              <w:pStyle w:val="Compact"/>
            </w:pPr>
            <w:r>
              <w:t xml:space="preserve">That anything is fixed faster. An SLA fails at the clock's start point, not at the number: a seventy-two-hour commitment whose clock starts when the vendor accepts triage is unbounded. And "patch released" is not "patch deployed" -- for software you run yourself, the deployment is your side of the line</w:t>
            </w:r>
          </w:p>
        </w:tc>
        <w:tc>
          <w:tcPr/>
          <w:p>
            <w:pPr>
              <w:pStyle w:val="Compact"/>
            </w:pPr>
            <w:r>
              <w:t xml:space="preserve">When does the clock start, when does it stop, and how does a reporter reach a human outside business hours? Producer side: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Secure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 incident response plan</w:t>
            </w:r>
          </w:p>
        </w:tc>
        <w:tc>
          <w:tcPr/>
          <w:p>
            <w:pPr>
              <w:pStyle w:val="Compact"/>
            </w:pPr>
            <w:r>
              <w:t xml:space="preserve">That a written plan exists, with named roles and a notification path</w:t>
            </w:r>
          </w:p>
        </w:tc>
        <w:tc>
          <w:tcPr/>
          <w:p>
            <w:pPr>
              <w:pStyle w:val="Compact"/>
            </w:pPr>
            <w:r>
              <w:t xml:space="preserve">That anyone has ever executed it</w:t>
            </w:r>
          </w:p>
        </w:tc>
        <w:tc>
          <w:tcPr/>
          <w:p>
            <w:pPr>
              <w:pStyle w:val="Compact"/>
            </w:pPr>
            <w:r>
              <w:t xml:space="preserve">The date of the last exercise, and what changed as a result. A plan with no exercise date is a document, not a capability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Data-handling agreements</w:t>
            </w:r>
          </w:p>
        </w:tc>
        <w:tc>
          <w:tcPr/>
          <w:p>
            <w:pPr>
              <w:pStyle w:val="Compact"/>
            </w:pPr>
            <w:r>
              <w:t xml:space="preserve">Who may process the data, for what purpose, through which subprocessors, and who must notify whom within what time. One row for a data processing agreement and its sector equivalents, such as a business associate agreement</w:t>
            </w:r>
          </w:p>
        </w:tc>
        <w:tc>
          <w:tcPr/>
          <w:p>
            <w:pPr>
              <w:pStyle w:val="Compact"/>
            </w:pPr>
            <w:r>
              <w:t xml:space="preserve">That the processing is secure. It allocates duty and liability, which is a different thing</w:t>
            </w:r>
          </w:p>
        </w:tc>
        <w:tc>
          <w:tcPr/>
          <w:p>
            <w:pPr>
              <w:pStyle w:val="Compact"/>
            </w:pPr>
            <w:r>
              <w:t xml:space="preserve">The current subprocessor list, how you are told when it changes, and where the breach-notification clock starts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if-you-only-ask-three-things"/>
    <w:p>
      <w:pPr>
        <w:pStyle w:val="Heading2"/>
      </w:pPr>
      <w:r>
        <w:t xml:space="preserve">If you only ask three things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scope statement of whatever organization-layer instrument they offered.</w:t>
      </w:r>
      <w:r>
        <w:t xml:space="preserve"> </w:t>
      </w:r>
      <w:r>
        <w:t xml:space="preserve">Not the</w:t>
      </w:r>
      <w:r>
        <w:t xml:space="preserve"> </w:t>
      </w:r>
      <w:r>
        <w:t xml:space="preserve">certificate, not the cover page -- the scope. It alone decides whether the thing you are buying</w:t>
      </w:r>
      <w:r>
        <w:t xml:space="preserve"> </w:t>
      </w:r>
      <w:r>
        <w:t xml:space="preserve">was inside the examination at all, and for distributed software the answer is frequently no.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SBOM of the artifact or environment you will actually run.</w:t>
      </w:r>
      <w:r>
        <w:t xml:space="preserve"> </w:t>
      </w:r>
      <w:r>
        <w:t xml:space="preserve">For an installed product that</w:t>
      </w:r>
      <w:r>
        <w:t xml:space="preserve"> </w:t>
      </w:r>
      <w:r>
        <w:t xml:space="preserve">is the released artifact; for a hosted service it is the runtime production environment, not a</w:t>
      </w:r>
      <w:r>
        <w:t xml:space="preserve"> </w:t>
      </w:r>
      <w:r>
        <w:t xml:space="preserve">build-time manifest. Those answer different questions, and only one describes what is running.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 dates: the last dynamic test, and the last incident response exercise.</w:t>
      </w:r>
      <w:r>
        <w:t xml:space="preserve"> </w:t>
      </w:r>
      <w:r>
        <w:t xml:space="preserve">Both are trivial</w:t>
      </w:r>
      <w:r>
        <w:t xml:space="preserve"> </w:t>
      </w:r>
      <w:r>
        <w:t xml:space="preserve">to supply if they happened, and neither can be produced retrospectively.</w:t>
      </w:r>
    </w:p>
    <w:p>
      <w:pPr>
        <w:pStyle w:val="FirstParagraph"/>
      </w:pPr>
      <w:r>
        <w:t xml:space="preserve">The reason these three and not others: each is a document or a date that either exists or does not,</w:t>
      </w:r>
      <w:r>
        <w:t xml:space="preserve"> </w:t>
      </w:r>
      <w:r>
        <w:t xml:space="preserve">and none of them can be answered with an adjective.</w:t>
      </w:r>
    </w:p>
    <w:p>
      <w:r>
        <w:pict>
          <v:rect style="width:0;height:1.5pt" o:hralign="center" o:hrstd="t" o:hr="t"/>
        </w:pict>
      </w:r>
    </w:p>
    <w:bookmarkEnd w:id="19"/>
    <w:bookmarkStart w:id="20" w:name="what-this-page-does-not-do"/>
    <w:p>
      <w:pPr>
        <w:pStyle w:val="Heading2"/>
      </w:pPr>
      <w:r>
        <w:t xml:space="preserve">What this page does not do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 least these, and not a complete diligence list.</w:t>
      </w:r>
      <w:r>
        <w:t xml:space="preserve"> </w:t>
      </w:r>
      <w:r>
        <w:t xml:space="preserve">Matching nothing here is not clearance, and</w:t>
      </w:r>
      <w:r>
        <w:t xml:space="preserve"> </w:t>
      </w:r>
      <w:r>
        <w:t xml:space="preserve">producing everything here is not approval.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legal advice.</w:t>
      </w:r>
      <w:r>
        <w:t xml:space="preserve"> </w:t>
      </w:r>
      <w:r>
        <w:t xml:space="preserve">What you are able to require is decided by a contract clause, not by a web</w:t>
      </w:r>
      <w:r>
        <w:t xml:space="preserve"> </w:t>
      </w:r>
      <w:r>
        <w:t xml:space="preserve">page. Nothing here has been reviewed by counsel.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assessor, tool, format or vendor is named.</w:t>
      </w:r>
      <w:r>
        <w:t xml:space="preserve"> </w:t>
      </w:r>
      <w:r>
        <w:t xml:space="preserve">The rows describe instruments, not the market</w:t>
      </w:r>
      <w:r>
        <w:t xml:space="preserve"> </w:t>
      </w:r>
      <w:r>
        <w:t xml:space="preserve">that sells them.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status, version or edition claim appears here.</w:t>
      </w:r>
      <w:r>
        <w:t xml:space="preserve"> </w:t>
      </w:r>
      <w:r>
        <w:t xml:space="preserve">Those live on the landscape and reference</w:t>
      </w:r>
      <w:r>
        <w:t xml:space="preserve"> </w:t>
      </w:r>
      <w:r>
        <w:t xml:space="preserve">pages, each carrying the date it was checked, so a stale fact is visible as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complete packet is not a secure product, and a thin packet is not an insecure one.</w:t>
      </w:r>
      <w:r>
        <w:t xml:space="preserve"> </w:t>
      </w:r>
      <w:r>
        <w:t xml:space="preserve">Both are</w:t>
      </w:r>
      <w:r>
        <w:t xml:space="preserve"> </w:t>
      </w:r>
      <w:r>
        <w:t xml:space="preserve">evidence about what you are able to check, which is a more modest thing than either side of a</w:t>
      </w:r>
      <w:r>
        <w:t xml:space="preserve"> </w:t>
      </w:r>
      <w:r>
        <w:t xml:space="preserve">procurement conversation usually wants it to be.</w:t>
      </w:r>
    </w:p>
    <w:p>
      <w:r>
        <w:pict>
          <v:rect style="width:0;height:1.5pt" o:hralign="center" o:hrstd="t" o:hr="t"/>
        </w:pict>
      </w:r>
    </w:p>
    <w:bookmarkEnd w:id="20"/>
    <w:bookmarkStart w:id="25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of these reach your own organization, with statuses and dates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Which standards apply to you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One row per document, as a lookup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Security standards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What to require of your own developers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process a build must satisfy, including dynamic testing, the data flow diagram and disclosure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Secure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SBOM, provenance, and what gets published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Dependency integrity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Whether a written rule can actually stop a change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What is actually enforced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None of this certifies anything.</w:t>
      </w:r>
      <w:r>
        <w:t xml:space="preserve"> </w:t>
      </w:r>
      <w:r>
        <w:t xml:space="preserve">MIT licensed. Adapt it, put your own name on it, and delete</w:t>
      </w:r>
      <w:r>
        <w:t xml:space="preserve"> </w:t>
      </w:r>
      <w:r>
        <w:t xml:space="preserve">anything you cannot stand behind.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CI-ENFORCEMENT.md" TargetMode="External" /><Relationship Type="http://schemas.openxmlformats.org/officeDocument/2006/relationships/hyperlink" Id="rId23" Target="CISO-SUMMAR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6" Target="SECURE-DEVELOPMENT.md" TargetMode="External" /><Relationship Type="http://schemas.openxmlformats.org/officeDocument/2006/relationships/hyperlink" Id="rId21" Target="STANDARDS-LANDSCAPE.md" TargetMode="External" /><Relationship Type="http://schemas.openxmlformats.org/officeDocument/2006/relationships/hyperlink" Id="rId12" Target="STANDARDS-LANDSCAPE.md#the-organization-layer-is-not-the-software-layer" TargetMode="External" /><Relationship Type="http://schemas.openxmlformats.org/officeDocument/2006/relationships/hyperlink" Id="rId22" Target="STANDARDS-REFERENCE.md" TargetMode="External" /><Relationship Type="http://schemas.openxmlformats.org/officeDocument/2006/relationships/hyperlink" Id="rId9" Target="https://raw.githubusercontent.com/wshallwshall/claude-multisession/main/docs/standards/DILIGENCE-PACKET.md" TargetMode="External" /><Relationship Type="http://schemas.openxmlformats.org/officeDocument/2006/relationships/hyperlink" Id="rId10" Target="https://raw.githubusercontent.com/wshallwshall/claude-multisession/main/docs/standards/word/DILIGENCE-PACKE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-ENFORCEMENT.md" TargetMode="External" /><Relationship Type="http://schemas.openxmlformats.org/officeDocument/2006/relationships/hyperlink" Id="rId23" Target="CISO-SUMMAR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6" Target="SECURE-DEVELOPMENT.md" TargetMode="External" /><Relationship Type="http://schemas.openxmlformats.org/officeDocument/2006/relationships/hyperlink" Id="rId21" Target="STANDARDS-LANDSCAPE.md" TargetMode="External" /><Relationship Type="http://schemas.openxmlformats.org/officeDocument/2006/relationships/hyperlink" Id="rId12" Target="STANDARDS-LANDSCAPE.md#the-organization-layer-is-not-the-software-layer" TargetMode="External" /><Relationship Type="http://schemas.openxmlformats.org/officeDocument/2006/relationships/hyperlink" Id="rId22" Target="STANDARDS-REFERENCE.md" TargetMode="External" /><Relationship Type="http://schemas.openxmlformats.org/officeDocument/2006/relationships/hyperlink" Id="rId9" Target="https://raw.githubusercontent.com/wshallwshall/claude-multisession/main/docs/standards/DILIGENCE-PACKET.md" TargetMode="External" /><Relationship Type="http://schemas.openxmlformats.org/officeDocument/2006/relationships/hyperlink" Id="rId10" Target="https://raw.githubusercontent.com/wshallwshall/claude-multisession/main/docs/standards/word/DILIGENCE-PACKE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2026-08-06T17:06:10Z</dcterms:created>
  <dcterms:modified xsi:type="dcterms:W3CDTF">2026-08-06T17:06:10Z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