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5370d31d3472698b00807739590c410bbd140c1"/>
    <w:p>
      <w:pPr>
        <w:pStyle w:val="Heading1"/>
      </w:pPr>
      <w:r>
        <w:t xml:space="preserve">Secure development: the process a build must satisfy</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pPr>
        <w:pStyle w:val="FirstParagraph"/>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r>
        <w:pict>
          <v:rect style="width:0;height:1.5pt" o:hralign="center" o:hrstd="t" o:hr="t"/>
        </w:pict>
      </w:r>
    </w:p>
    <w:bookmarkStart w:id="12" w:name="where-the-rules-come-from"/>
    <w:p>
      <w:pPr>
        <w:pStyle w:val="Heading2"/>
      </w:pPr>
      <w:r>
        <w:t xml:space="preserve">Where the rules come from</w:t>
      </w:r>
    </w:p>
    <w:p>
      <w:pPr>
        <w:pStyle w:val="FirstParagraph"/>
      </w:pPr>
      <w:r>
        <w:t xml:space="preserve">Most of what follows is this document's own reasoning about what a small producing team can actually</w:t>
      </w:r>
      <w:r>
        <w:t xml:space="preserve"> </w:t>
      </w:r>
      <w:r>
        <w:t xml:space="preserve">execute. Where a rule was borrowed, it was borrowed from, at least, these. Each publication's status,</w:t>
      </w:r>
      <w:r>
        <w:t xml:space="preserve"> </w:t>
      </w:r>
      <w:r>
        <w:t xml:space="preserve">its date, and the date that status was last checked are in</w:t>
      </w:r>
      <w:r>
        <w:t xml:space="preserve"> </w:t>
      </w:r>
      <w:hyperlink w:anchor="sources">
        <w:r>
          <w:rPr>
            <w:rStyle w:val="Hyperlink"/>
            <w:b/>
            <w:bCs/>
          </w:rPr>
          <w:t xml:space="preserve">Sources</w:t>
        </w:r>
      </w:hyperlink>
      <w:r>
        <w:t xml:space="preserve"> </w:t>
      </w:r>
      <w:r>
        <w:t xml:space="preserve">at the bottom, in</w:t>
      </w:r>
      <w:r>
        <w:t xml:space="preserve"> </w:t>
      </w:r>
      <w:r>
        <w:t xml:space="preserve">one table and nowhere else, so a status re-check is a single-table edit rather than a sweep.</w:t>
      </w:r>
    </w:p>
    <w:p>
      <w:pPr>
        <w:pStyle w:val="Compact"/>
        <w:numPr>
          <w:ilvl w:val="0"/>
          <w:numId w:val="1001"/>
        </w:numPr>
      </w:pPr>
      <w:r>
        <w:rPr>
          <w:b/>
          <w:bCs/>
        </w:rPr>
        <w:t xml:space="preserve">NIST SP 800-218 v1.1, Secure Software Development Framework (SSDF).</w:t>
      </w:r>
      <w:r>
        <w:t xml:space="preserve"> </w:t>
      </w:r>
      <w:r>
        <w:t xml:space="preserve">The only one of these</w:t>
      </w:r>
      <w:r>
        <w:t xml:space="preserve"> </w:t>
      </w:r>
      <w:r>
        <w:t xml:space="preserve">written for a software</w:t>
      </w:r>
      <w:r>
        <w:t xml:space="preserve"> </w:t>
      </w:r>
      <w:r>
        <w:rPr>
          <w:b/>
          <w:bCs/>
        </w:rPr>
        <w:t xml:space="preserve">producer</w:t>
      </w:r>
      <w:r>
        <w:t xml:space="preserve"> </w:t>
      </w:r>
      <w:r>
        <w:t xml:space="preserve">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below carries an SSDF mark, and that is deliberate rather than an</w:t>
      </w:r>
      <w:r>
        <w:t xml:space="preserve"> </w:t>
      </w:r>
      <w:r>
        <w:t xml:space="preserve">oversight --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01"/>
        </w:numPr>
      </w:pPr>
      <w:r>
        <w:rPr>
          <w:b/>
          <w:bCs/>
        </w:rPr>
        <w:t xml:space="preserve">NIST SP 800-53 Rev. 5, Security and Privacy Controls for Information Systems and</w:t>
      </w:r>
      <w:r>
        <w:rPr>
          <w:b/>
          <w:bCs/>
        </w:rPr>
        <w:t xml:space="preserve"> </w:t>
      </w:r>
      <w:r>
        <w:rPr>
          <w:b/>
          <w:bCs/>
        </w:rPr>
        <w:t xml:space="preserve">Organizations, as maintained by Release 5.2.0 (2025-08-27).</w:t>
      </w:r>
      <w:r>
        <w:t xml:space="preserve"> </w:t>
      </w:r>
      <w:r>
        <w:t xml:space="preserve">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01"/>
        </w:numPr>
      </w:pPr>
      <w:r>
        <w:rPr>
          <w:b/>
          <w:bCs/>
        </w:rPr>
        <w:t xml:space="preserve">NIST SP 800-115, Technical Guide to Information Security Testing and Assessment.</w:t>
      </w:r>
      <w:r>
        <w:t xml:space="preserve"> </w:t>
      </w:r>
      <w:r>
        <w:t xml:space="preserve">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01"/>
        </w:numPr>
      </w:pPr>
      <w:r>
        <w:rPr>
          <w:b/>
          <w:bCs/>
        </w:rPr>
        <w:t xml:space="preserve">FIPS 199, Standards for Security Categorization.</w:t>
      </w:r>
      <w:r>
        <w:t xml:space="preserve"> </w:t>
      </w:r>
      <w:r>
        <w:t xml:space="preserve">One page of vocabulary: three security</w:t>
      </w:r>
      <w:r>
        <w:t xml:space="preserve"> </w:t>
      </w:r>
      <w:r>
        <w:t xml:space="preserve">objectives against three impact levels, plus the high-water-mark roll-up for a collection.</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 section 17's register; it is stated there once and</w:t>
      </w:r>
      <w:r>
        <w:t xml:space="preserve"> </w:t>
      </w:r>
      <w:r>
        <w:t xml:space="preserve">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 so the baselines, the tailoring</w:t>
      </w:r>
      <w:r>
        <w:t xml:space="preserve"> </w:t>
      </w:r>
      <w:r>
        <w:t xml:space="preserve">apparatus and the risk management framework built around the catalog are all out of scope here.</w:t>
      </w:r>
      <w:r>
        <w:t xml:space="preserve"> </w:t>
      </w:r>
      <w:r>
        <w:t xml:space="preserve">Only named control text is borrowed. Section 17 carries the full claim register.</w:t>
      </w:r>
    </w:p>
    <w:p>
      <w:pPr>
        <w:pStyle w:val="BodyText"/>
      </w:pPr>
      <w:r>
        <w:rPr>
          <w:b/>
          <w:bCs/>
        </w:rPr>
        <w:t xml:space="preserve">How borrowings are marked.</w:t>
      </w:r>
      <w:r>
        <w:t xml:space="preserve"> </w:t>
      </w:r>
      <w:r>
        <w:t xml:space="preserve">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w:t>
      </w:r>
      <w:r>
        <w:t xml:space="preserve"> </w:t>
      </w:r>
      <w:r>
        <w:rPr>
          <w:b/>
          <w:bCs/>
        </w:rPr>
        <w:t xml:space="preserve">if the source changed, would this rule change?</w:t>
      </w:r>
      <w:r>
        <w:t xml:space="preserve"> </w:t>
      </w:r>
      <w:r>
        <w:t xml:space="preserve">Yes is</w:t>
      </w:r>
      <w:r>
        <w:t xml:space="preserve"> </w:t>
      </w:r>
      <w:r>
        <w:t xml:space="preserve">derived, no is prompted-by, and no source at all is unmarked. A mark attaches to the rule -- the</w:t>
      </w:r>
      <w:r>
        <w:t xml:space="preserve"> </w:t>
      </w:r>
      <w:r>
        <w:t xml:space="preserve">bolded lead sentence, or the bullet -- never to the prose arguing for it, so the explanation, the</w:t>
      </w:r>
      <w:r>
        <w:t xml:space="preserve"> </w:t>
      </w:r>
      <w:r>
        <w:t xml:space="preserve">honest limit and the cost sitting inside a derived rule stay unmarked, because those are ours.</w:t>
      </w:r>
    </w:p>
    <w:bookmarkEnd w:id="12"/>
    <w:bookmarkStart w:id="13" w:name="what-you-get"/>
    <w:p>
      <w:pPr>
        <w:pStyle w:val="Heading2"/>
      </w:pPr>
      <w:r>
        <w:t xml:space="preserve">What you get</w:t>
      </w:r>
    </w:p>
    <w:p>
      <w:pPr>
        <w:pStyle w:val="Compact"/>
        <w:numPr>
          <w:ilvl w:val="0"/>
          <w:numId w:val="1002"/>
        </w:numPr>
      </w:pPr>
      <w:r>
        <w:rPr>
          <w:b/>
          <w:bCs/>
        </w:rPr>
        <w:t xml:space="preserve">A written ownership split.</w:t>
      </w:r>
      <w:r>
        <w:t xml:space="preserve"> </w:t>
      </w:r>
      <w:r>
        <w:t xml:space="preserve">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2"/>
        </w:numPr>
      </w:pPr>
      <w:r>
        <w:rPr>
          <w:b/>
          <w:bCs/>
        </w:rPr>
        <w:t xml:space="preserve">Review with something to check against.</w:t>
      </w:r>
      <w:r>
        <w:t xml:space="preserve"> </w:t>
      </w:r>
      <w:r>
        <w:t xml:space="preserve">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2"/>
        </w:numPr>
      </w:pPr>
      <w:r>
        <w:rPr>
          <w:b/>
          <w:bCs/>
        </w:rPr>
        <w:t xml:space="preserve">A finite secure-coding list.</w:t>
      </w:r>
      <w:r>
        <w:t xml:space="preserve"> </w:t>
      </w:r>
      <w:r>
        <w:t xml:space="preserve">A reviewer, human or automated, gets a bounded set of questions</w:t>
      </w:r>
      <w:r>
        <w:t xml:space="preserve"> </w:t>
      </w:r>
      <w:r>
        <w:t xml:space="preserve">instead of an unanswerable one.</w:t>
      </w:r>
    </w:p>
    <w:p>
      <w:pPr>
        <w:pStyle w:val="Compact"/>
        <w:numPr>
          <w:ilvl w:val="0"/>
          <w:numId w:val="1002"/>
        </w:numPr>
      </w:pPr>
      <w:r>
        <w:rPr>
          <w:b/>
          <w:bCs/>
        </w:rPr>
        <w:t xml:space="preserve">An honest read of your own pipeline.</w:t>
      </w:r>
      <w:r>
        <w:t xml:space="preserve"> </w:t>
      </w:r>
      <w:r>
        <w:t xml:space="preserve">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2"/>
        </w:numPr>
      </w:pPr>
      <w:r>
        <w:rPr>
          <w:b/>
          <w:bCs/>
        </w:rPr>
        <w:t xml:space="preserve">A release gate that is a checklist, not a debate.</w:t>
      </w:r>
      <w:r>
        <w:t xml:space="preserve"> </w:t>
      </w:r>
      <w:r>
        <w:t xml:space="preserve">Defined pass and fail conditions, so the</w:t>
      </w:r>
      <w:r>
        <w:t xml:space="preserve"> </w:t>
      </w:r>
      <w:r>
        <w:t xml:space="preserve">conditions under which you shipped are recoverable afterwards.</w:t>
      </w:r>
    </w:p>
    <w:p>
      <w:pPr>
        <w:pStyle w:val="Compact"/>
        <w:numPr>
          <w:ilvl w:val="0"/>
          <w:numId w:val="1002"/>
        </w:numPr>
      </w:pPr>
      <w:r>
        <w:rPr>
          <w:b/>
          <w:bCs/>
        </w:rPr>
        <w:t xml:space="preserve">Artifacts an adopter can verify without trusting your description of your process</w:t>
      </w:r>
      <w:r>
        <w:t xml:space="preserve"> </w:t>
      </w:r>
      <w:r>
        <w:t xml:space="preserve">--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2"/>
        </w:numPr>
      </w:pPr>
      <w:r>
        <w:rPr>
          <w:b/>
          <w:bCs/>
        </w:rPr>
        <w:t xml:space="preserve">A posture you can publish when you cannot meet every requirement.</w:t>
      </w:r>
      <w:r>
        <w:t xml:space="preserve"> </w:t>
      </w:r>
      <w:r>
        <w:t xml:space="preserve">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2"/>
        </w:numPr>
      </w:pPr>
      <w:r>
        <w:rPr>
          <w:b/>
          <w:bCs/>
        </w:rPr>
        <w:t xml:space="preserve">Wording that survives a reviewer.</w:t>
      </w:r>
      <w:r>
        <w:t xml:space="preserve"> </w:t>
      </w:r>
      <w:r>
        <w:t xml:space="preserve">Phrases you can use, phrases you cannot, and the reason, so</w:t>
      </w:r>
      <w:r>
        <w:t xml:space="preserve"> </w:t>
      </w:r>
      <w:r>
        <w:t xml:space="preserve">publishing a security page does not accidentally assert a certification that does not exist.</w:t>
      </w:r>
    </w:p>
    <w:bookmarkEnd w:id="13"/>
    <w:bookmarkStart w:id="15" w:name="what-this-costs-you"/>
    <w:p>
      <w:pPr>
        <w:pStyle w:val="Heading2"/>
      </w:pPr>
      <w:r>
        <w:t xml:space="preserve">What this costs you</w:t>
      </w:r>
    </w:p>
    <w:p>
      <w:pPr>
        <w:pStyle w:val="Compact"/>
        <w:numPr>
          <w:ilvl w:val="0"/>
          <w:numId w:val="1003"/>
        </w:numPr>
      </w:pPr>
      <w:r>
        <w:rPr>
          <w:b/>
          <w:bCs/>
        </w:rPr>
        <w:t xml:space="preserve">Calendar time in two places that resist automation.</w:t>
      </w:r>
      <w:r>
        <w:t xml:space="preserve"> </w:t>
      </w:r>
      <w:r>
        <w:t xml:space="preserve">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3"/>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3"/>
        </w:numPr>
      </w:pPr>
      <w:r>
        <w:rPr>
          <w:b/>
          <w:bCs/>
        </w:rPr>
        <w:t xml:space="preserve">A gap you cannot close by working harder.</w:t>
      </w:r>
      <w:r>
        <w:t xml:space="preserve"> </w:t>
      </w:r>
      <w:r>
        <w:t xml:space="preserve">Third-party source review and penetration testing are</w:t>
      </w:r>
      <w:r>
        <w:t xml:space="preserve"> </w:t>
      </w:r>
      <w:r>
        <w:t xml:space="preserve">the two controls an internally-run pipeline cannot substitute for. Developer-run dynamic testing is</w:t>
      </w:r>
      <w:r>
        <w:t xml:space="preserve"> </w:t>
      </w:r>
      <w:r>
        <w:t xml:space="preserve">not one of them -- section 2 carries the version that costs runner minutes, and section 15 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3"/>
        </w:numPr>
      </w:pPr>
      <w:r>
        <w:rPr>
          <w:b/>
          <w:bCs/>
        </w:rPr>
        <w:t xml:space="preserve">No code ships with this.</w:t>
      </w:r>
      <w:r>
        <w:t xml:space="preserve"> </w:t>
      </w:r>
      <w:r>
        <w:t xml:space="preserve">No workflow, no scanner configuration, no template. The mechanics</w:t>
      </w:r>
      <w:r>
        <w:t xml:space="preserve"> </w:t>
      </w:r>
      <w:r>
        <w:t xml:space="preserve">below are described so you can build them where you already run checks.</w:t>
      </w:r>
    </w:p>
    <w:bookmarkStart w:id="14" w:name="where-this-does-not-apply"/>
    <w:p>
      <w:pPr>
        <w:pStyle w:val="Heading3"/>
      </w:pPr>
      <w:r>
        <w:t xml:space="preserve">Where this does not apply</w:t>
      </w:r>
    </w:p>
    <w:p>
      <w:pPr>
        <w:pStyle w:val="Compact"/>
        <w:numPr>
          <w:ilvl w:val="0"/>
          <w:numId w:val="1004"/>
        </w:numPr>
      </w:pPr>
      <w:r>
        <w:rPr>
          <w:b/>
          <w:bCs/>
        </w:rPr>
        <w:t xml:space="preserve">Throwaway work.</w:t>
      </w:r>
      <w:r>
        <w:t xml:space="preserve"> </w:t>
      </w:r>
      <w:r>
        <w:t xml:space="preserve">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4"/>
        </w:numPr>
      </w:pPr>
      <w:r>
        <w:rPr>
          <w:b/>
          <w:bCs/>
        </w:rPr>
        <w:t xml:space="preserve">Anything you are not the producer of.</w:t>
      </w:r>
      <w:r>
        <w:t xml:space="preserve"> </w:t>
      </w:r>
      <w:r>
        <w:t xml:space="preserve">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4"/>
        </w:numPr>
      </w:pPr>
      <w:r>
        <w:rPr>
          <w:b/>
          <w:bCs/>
        </w:rPr>
        <w:t xml:space="preserve">As a compliance position.</w:t>
      </w:r>
      <w:r>
        <w:t xml:space="preserve"> </w:t>
      </w:r>
      <w:r>
        <w:t xml:space="preserve">Building to this confers nothing on the product, on you, or on an</w:t>
      </w:r>
      <w:r>
        <w:t xml:space="preserve"> </w:t>
      </w:r>
      <w:r>
        <w:t xml:space="preserve">adopter, and it does not substitute for an adopting organization's own assessment.</w:t>
      </w:r>
    </w:p>
    <w:bookmarkEnd w:id="14"/>
    <w:bookmarkEnd w:id="15"/>
    <w:bookmarkStart w:id="16" w:name="how-to-adopt-this"/>
    <w:p>
      <w:pPr>
        <w:pStyle w:val="Heading2"/>
      </w:pPr>
      <w:r>
        <w:t xml:space="preserve">How to adopt this</w:t>
      </w:r>
    </w:p>
    <w:p>
      <w:pPr>
        <w:pStyle w:val="FirstParagraph"/>
      </w:pPr>
      <w:r>
        <w:t xml:space="preserve">Start with the ownership split (section 1). One table, one sitting. It is the artifact that makes</w:t>
      </w:r>
      <w:r>
        <w:t xml:space="preserve"> </w:t>
      </w:r>
      <w:r>
        <w:t xml:space="preserve">every later claim scopeable, and most of the arguments it prevents are arguments about who was</w:t>
      </w:r>
      <w:r>
        <w:t xml:space="preserve"> </w:t>
      </w:r>
      <w:r>
        <w:t xml:space="preserve">supposed to do something.</w:t>
      </w:r>
    </w:p>
    <w:p>
      <w:pPr>
        <w:pStyle w:val="BodyText"/>
      </w:pPr>
      <w:r>
        <w:t xml:space="preserve">Then work in this order:</w:t>
      </w:r>
    </w:p>
    <w:p>
      <w:pPr>
        <w:pStyle w:val="Compact"/>
        <w:numPr>
          <w:ilvl w:val="0"/>
          <w:numId w:val="1005"/>
        </w:numPr>
      </w:pPr>
      <w:r>
        <w:rPr>
          <w:b/>
          <w:bCs/>
        </w:rPr>
        <w:t xml:space="preserve">Ownership split, then the data-class table.</w:t>
      </w:r>
      <w:r>
        <w:t xml:space="preserve"> </w:t>
      </w:r>
      <w:r>
        <w:t xml:space="preserve">Section 1. The second is another table and another</w:t>
      </w:r>
      <w:r>
        <w:t xml:space="preserve"> </w:t>
      </w:r>
      <w:r>
        <w:t xml:space="preserve">sitting, and it is what makes every later rule that says "restricted data" mean something specific.</w:t>
      </w:r>
    </w:p>
    <w:p>
      <w:pPr>
        <w:pStyle w:val="Compact"/>
        <w:numPr>
          <w:ilvl w:val="0"/>
          <w:numId w:val="1005"/>
        </w:numPr>
      </w:pPr>
      <w:r>
        <w:rPr>
          <w:b/>
          <w:bCs/>
        </w:rPr>
        <w:t xml:space="preserve">Threat model one trust boundary</w:t>
      </w:r>
      <w:r>
        <w:t xml:space="preserve"> </w:t>
      </w:r>
      <w:r>
        <w:t xml:space="preserve">-- the riskiest, not all of them. Section 2. A single worked</w:t>
      </w:r>
      <w:r>
        <w:t xml:space="preserve"> </w:t>
      </w:r>
      <w:r>
        <w:t xml:space="preserve">boundary teaches the format better than a sweep does.</w:t>
      </w:r>
    </w:p>
    <w:p>
      <w:pPr>
        <w:pStyle w:val="Compact"/>
        <w:numPr>
          <w:ilvl w:val="0"/>
          <w:numId w:val="1005"/>
        </w:numPr>
      </w:pPr>
      <w:r>
        <w:rPr>
          <w:b/>
          <w:bCs/>
        </w:rPr>
        <w:t xml:space="preserve">Make the scanner posture honest.</w:t>
      </w:r>
      <w:r>
        <w:t xml:space="preserve"> </w:t>
      </w:r>
      <w:r>
        <w:t xml:space="preserve">Section 5. Classify every nominally-security job as blocking</w:t>
      </w:r>
      <w:r>
        <w:t xml:space="preserve"> </w:t>
      </w:r>
      <w:r>
        <w:t xml:space="preserve">or advisory before adding any new one. This usually reveals that coverage is narrower than the</w:t>
      </w:r>
      <w:r>
        <w:t xml:space="preserve"> </w:t>
      </w:r>
      <w:r>
        <w:t xml:space="preserve">tool list suggested, at zero engineering cost.</w:t>
      </w:r>
    </w:p>
    <w:p>
      <w:pPr>
        <w:pStyle w:val="Compact"/>
        <w:numPr>
          <w:ilvl w:val="0"/>
          <w:numId w:val="1005"/>
        </w:numPr>
      </w:pPr>
      <w:r>
        <w:rPr>
          <w:b/>
          <w:bCs/>
        </w:rPr>
        <w:t xml:space="preserve">Write the deviations register.</w:t>
      </w:r>
      <w:r>
        <w:t xml:space="preserve"> </w:t>
      </w:r>
      <w:r>
        <w:t xml:space="preserve">Section 13. Start with what you cannot do today. A register</w:t>
      </w:r>
      <w:r>
        <w:t xml:space="preserve"> </w:t>
      </w:r>
      <w:r>
        <w:t xml:space="preserve">written while you are still honest about the gaps is worth more than one written at review time.</w:t>
      </w:r>
    </w:p>
    <w:p>
      <w:pPr>
        <w:pStyle w:val="Compact"/>
        <w:numPr>
          <w:ilvl w:val="0"/>
          <w:numId w:val="1005"/>
        </w:numPr>
      </w:pPr>
      <w:r>
        <w:rPr>
          <w:b/>
          <w:bCs/>
        </w:rPr>
        <w:t xml:space="preserve">Build and release integrity.</w:t>
      </w:r>
      <w:r>
        <w:t xml:space="preserve"> </w:t>
      </w:r>
      <w:r>
        <w:t xml:space="preserve">Section 10. Short-lived publishing credentials, an attestation</w:t>
      </w:r>
      <w:r>
        <w:t xml:space="preserve"> </w:t>
      </w:r>
      <w:r>
        <w:t xml:space="preserve">over the artifact digest, and a published digest manifest cover most of what an adopter needs.</w:t>
      </w:r>
    </w:p>
    <w:p>
      <w:pPr>
        <w:pStyle w:val="Compact"/>
        <w:numPr>
          <w:ilvl w:val="0"/>
          <w:numId w:val="1005"/>
        </w:numPr>
      </w:pPr>
      <w:r>
        <w:rPr>
          <w:b/>
          <w:bCs/>
        </w:rPr>
        <w:t xml:space="preserve">The release gate.</w:t>
      </w:r>
      <w:r>
        <w:t xml:space="preserve"> </w:t>
      </w:r>
      <w:r>
        <w:t xml:space="preserve">Section 16. Now that you know which checks block, the gate can be written as</w:t>
      </w:r>
      <w:r>
        <w:t xml:space="preserve"> </w:t>
      </w:r>
      <w:r>
        <w:t xml:space="preserve">a list rather than a judgment.</w:t>
      </w:r>
    </w:p>
    <w:p>
      <w:pPr>
        <w:pStyle w:val="Compact"/>
        <w:numPr>
          <w:ilvl w:val="0"/>
          <w:numId w:val="1005"/>
        </w:numPr>
      </w:pPr>
      <w:r>
        <w:rPr>
          <w:b/>
          <w:bCs/>
        </w:rPr>
        <w:t xml:space="preserve">Rehearse vulnerability response.</w:t>
      </w:r>
      <w:r>
        <w:t xml:space="preserve"> </w:t>
      </w:r>
      <w:r>
        <w:t xml:space="preserve">Section 12. A dry run finds the broken intake channel before</w:t>
      </w:r>
      <w:r>
        <w:t xml:space="preserve"> </w:t>
      </w:r>
      <w:r>
        <w:t xml:space="preserve">a real reporter does.</w:t>
      </w:r>
    </w:p>
    <w:p>
      <w:pPr>
        <w:pStyle w:val="Compact"/>
        <w:numPr>
          <w:ilvl w:val="0"/>
          <w:numId w:val="1005"/>
        </w:numPr>
      </w:pPr>
      <w:r>
        <w:rPr>
          <w:b/>
          <w:bCs/>
        </w:rPr>
        <w:t xml:space="preserve">Set the re-evaluation cadence.</w:t>
      </w:r>
      <w:r>
        <w:t xml:space="preserve"> </w:t>
      </w:r>
      <w:r>
        <w:t xml:space="preserve">Section 14. Four items, a stated cadence, a dated entry per</w:t>
      </w:r>
      <w:r>
        <w:t xml:space="preserve"> </w:t>
      </w:r>
      <w:r>
        <w:t xml:space="preserve">pass, and the event trigger that sends you back to step 1's table. It is what catches a control</w:t>
      </w:r>
      <w:r>
        <w:t xml:space="preserve"> </w:t>
      </w:r>
      <w:r>
        <w:t xml:space="preserve">that degraded during a stretch where nothing shipped, and its event trigger is the row section</w:t>
      </w:r>
      <w:r>
        <w:t xml:space="preserve"> </w:t>
      </w:r>
      <w:r>
        <w:t xml:space="preserve">16's gate carries for the data-class table.</w:t>
      </w:r>
    </w:p>
    <w:p>
      <w:pPr>
        <w:pStyle w:val="Compact"/>
        <w:numPr>
          <w:ilvl w:val="0"/>
          <w:numId w:val="1005"/>
        </w:numPr>
      </w:pPr>
      <w:r>
        <w:rPr>
          <w:b/>
          <w:bCs/>
        </w:rPr>
        <w:t xml:space="preserve">The remaining sections</w:t>
      </w:r>
      <w:r>
        <w:t xml:space="preserve"> </w:t>
      </w:r>
      <w:r>
        <w:t xml:space="preserve">as they become relevant to what you build.</w:t>
      </w:r>
    </w:p>
    <w:p>
      <w:r>
        <w:pict>
          <v:rect style="width:0;height:1.5pt" o:hralign="center" o:hrstd="t" o:hr="t"/>
        </w:pict>
      </w:r>
    </w:p>
    <w:bookmarkEnd w:id="16"/>
    <w:bookmarkStart w:id="17" w:name="X72e8a7b0eb017be1b6be4ce9a7aa4c29f34647f"/>
    <w:p>
      <w:pPr>
        <w:pStyle w:val="Heading2"/>
      </w:pPr>
      <w:r>
        <w:t xml:space="preserve">The shape: two layers, and the second is where the defects are</w:t>
      </w:r>
    </w:p>
    <w:p>
      <w:pPr>
        <w:pStyle w:val="FirstParagraph"/>
      </w:pPr>
      <w:r>
        <w:t xml:space="preserve">Judge a build's security as a composite of two layers. Never on one row of either.</w:t>
      </w:r>
    </w:p>
    <w:p>
      <w:pPr>
        <w:pStyle w:val="BodyText"/>
      </w:pPr>
      <w:r>
        <w:rPr>
          <w:b/>
          <w:bCs/>
        </w:rPr>
        <w:t xml:space="preserve">The machine-enforced layer</w:t>
      </w:r>
      <w:r>
        <w:t xml:space="preserve"> </w:t>
      </w:r>
      <w:r>
        <w:t xml:space="preserve">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 evidence is a red</w:t>
      </w:r>
      <w:r>
        <w:t xml:space="preserve"> </w:t>
      </w:r>
      <w:r>
        <w:t xml:space="preserve">or green pipeline leg rather than a claim.</w:t>
      </w:r>
    </w:p>
    <w:p>
      <w:pPr>
        <w:pStyle w:val="BodyText"/>
      </w:pPr>
      <w:r>
        <w:rPr>
          <w:b/>
          <w:bCs/>
        </w:rPr>
        <w:t xml:space="preserve">The process layer</w:t>
      </w:r>
      <w:r>
        <w:t xml:space="preserve"> </w:t>
      </w:r>
      <w:r>
        <w:t xml:space="preserve">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7"/>
    <w:bookmarkStart w:id="20"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rPr>
          <w:b/>
          <w:bCs/>
        </w:rPr>
        <w:t xml:space="preserve">Shipping the software confers nothing on the operator.</w:t>
      </w:r>
      <w:r>
        <w:t xml:space="preserve"> </w:t>
      </w:r>
      <w:r>
        <w:t xml:space="preserve">An attestation that the software was</w:t>
      </w:r>
      <w:r>
        <w:t xml:space="preserve"> </w:t>
      </w:r>
      <w:r>
        <w:t xml:space="preserve">built securely is an input to their assessment, never a substitute for it. State that where an</w:t>
      </w:r>
      <w:r>
        <w:t xml:space="preserve"> </w:t>
      </w:r>
      <w:r>
        <w:t xml:space="preserve">adopter 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8" w:name="X4ca1e2b74cbf9e5a534c776f2934c8292145685"/>
    <w:p>
      <w:pPr>
        <w:pStyle w:val="Heading3"/>
      </w:pPr>
      <w:r>
        <w:t xml:space="preserve">The third participant: services neither column owns</w:t>
      </w:r>
    </w:p>
    <w:p>
      <w:pPr>
        <w:pStyle w:val="FirstParagraph"/>
      </w:pPr>
      <w:r>
        <w:rPr>
          <w:b/>
          <w:bCs/>
        </w:rPr>
        <w:t xml:space="preserve">List the services the build depends on, what each is trusted to do, and what fails if it is</w:t>
      </w:r>
      <w:r>
        <w:rPr>
          <w:b/>
          <w:bCs/>
        </w:rPr>
        <w:t xml:space="preserve"> </w:t>
      </w:r>
      <w:r>
        <w:rPr>
          <w:b/>
          <w:bCs/>
        </w:rP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r>
              <w:t xml:space="preserve">Section 10's archive, and every claim that rests on it</w:t>
            </w:r>
          </w:p>
        </w:tc>
      </w:tr>
    </w:tbl>
    <w:p>
      <w:pPr>
        <w:pStyle w:val="BodyText"/>
      </w:pPr>
      <w:r>
        <w:t xml:space="preserve">This is also where section 10's</w:t>
      </w:r>
      <w:r>
        <w:t xml:space="preserve"> </w:t>
      </w:r>
      <w:r>
        <w:rPr>
          <w:i/>
          <w:iCs/>
        </w:rPr>
        <w:t xml:space="preserve">keyless signing moves the threat model, it does not remove it</w:t>
      </w:r>
      <w:r>
        <w:t xml:space="preserve"> </w:t>
      </w:r>
      <w:r>
        <w:t xml:space="preserve">puts</w:t>
      </w:r>
      <w:r>
        <w:t xml:space="preserve"> </w:t>
      </w:r>
      <w:r>
        <w:t xml:space="preserve">the load it relocates. That sentence names a relocation and, without this table, the load has nowhere</w:t>
      </w:r>
      <w:r>
        <w:t xml:space="preserve"> </w:t>
      </w:r>
      <w:r>
        <w:t xml:space="preserve">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8"/>
    <w:bookmarkStart w:id="19" w:name="X5d46b3bfadc8b2b87d8791de125bb6253b37e18"/>
    <w:p>
      <w:pPr>
        <w:pStyle w:val="Heading3"/>
      </w:pPr>
      <w:r>
        <w:t xml:space="preserve">What "restricted data" means here, exactly once</w:t>
      </w:r>
    </w:p>
    <w:p>
      <w:pPr>
        <w:pStyle w:val="FirstParagraph"/>
      </w:pPr>
      <w:r>
        <w:rPr>
          <w:b/>
          <w:bCs/>
        </w:rPr>
        <w:t xml:space="preserve">Define the data classes in one table, and let every other rule on this page point at it rather than</w:t>
      </w:r>
      <w:r>
        <w:rPr>
          <w:b/>
          <w:bCs/>
        </w:rPr>
        <w:t xml:space="preserve"> </w:t>
      </w:r>
      <w:r>
        <w:rPr>
          <w:b/>
          <w:bCs/>
        </w:rP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 section 2 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Classes that recur: credentials and key material; data restricted under a regime the adopting</w:t>
      </w:r>
      <w:r>
        <w:t xml:space="preserve"> </w:t>
      </w:r>
      <w:r>
        <w:t xml:space="preserve">organization operates under; operational telemetry that identifies a person or a site; and the</w:t>
      </w:r>
      <w:r>
        <w:t xml:space="preserve"> </w:t>
      </w:r>
      <w:r>
        <w:t xml:space="preserve">published artifact and its metadata, which is public by construction and belongs in the table</w:t>
      </w:r>
      <w:r>
        <w:t xml:space="preserve"> </w:t>
      </w:r>
      <w:r>
        <w:t xml:space="preserve">precisely so that is written down rather than assumed.</w:t>
      </w:r>
    </w:p>
    <w:p>
      <w:pPr>
        <w:pStyle w:val="BodyText"/>
      </w:pPr>
      <w:r>
        <w:t xml:space="preserve">The third column is the one that earns the table. "At rest" is commonly read as a property of a</w:t>
      </w:r>
      <w:r>
        <w:t xml:space="preserve"> </w:t>
      </w:r>
      <w:r>
        <w:t xml:space="preserve">storage device, and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rPr>
          <w:b/>
          <w:bCs/>
        </w:rP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five earlier rules on this page already carried, and a</w:t>
      </w:r>
      <w:r>
        <w:t xml:space="preserve"> </w:t>
      </w:r>
      <w:r>
        <w:t xml:space="preserve">definition narrower than the adjective it replaces silently weakens all five -- it would let a</w:t>
      </w:r>
      <w:r>
        <w:t xml:space="preserve"> </w:t>
      </w:r>
      <w:r>
        <w:t xml:space="preserve">class rated moderate travel in cleartext, rest unencrypted, and be logged at informational level,</w:t>
      </w:r>
      <w:r>
        <w:t xml:space="preserve"> </w:t>
      </w:r>
      <w:r>
        <w:t xml:space="preserve">with no edit to any of those rules and nothing in the diff to show it. If you want a stricter tier</w:t>
      </w:r>
      <w:r>
        <w:t xml:space="preserve"> </w:t>
      </w:r>
      <w:r>
        <w:t xml:space="preserve">for one specific ratchet, name that ratchet where it is stated and leave the rest quantified over the</w:t>
      </w:r>
      <w:r>
        <w:t xml:space="preserve"> </w:t>
      </w:r>
      <w:r>
        <w:t xml:space="preserve">broader set. That is the single definition, and sections 3, 6, 7, 8 and 9 resolve their ratchets</w:t>
      </w:r>
      <w:r>
        <w:t xml:space="preserve"> </w:t>
      </w:r>
      <w:r>
        <w:t xml:space="preserve">against it instead of each carrying an adjective. If a rule elsewhere says restricted data and your</w:t>
      </w:r>
      <w:r>
        <w:t xml:space="preserve"> </w:t>
      </w:r>
      <w:r>
        <w:t xml:space="preserve">table has no row that matches, the finding is the missing row.</w:t>
      </w:r>
    </w:p>
    <w:p>
      <w:pPr>
        <w:pStyle w:val="BodyText"/>
      </w:pPr>
      <w:r>
        <w:t xml:space="preserve">Two honest limits, in the same paragraph as the rule. The table supplies the</w:t>
      </w:r>
      <w:r>
        <w:t xml:space="preserve"> </w:t>
      </w:r>
      <w:r>
        <w:rPr>
          <w:b/>
          <w:bCs/>
        </w:rPr>
        <w:t xml:space="preserve">scope</w:t>
      </w:r>
      <w:r>
        <w:t xml:space="preserve"> </w:t>
      </w:r>
      <w:r>
        <w:t xml:space="preserve">of at-rest</w:t>
      </w:r>
      <w:r>
        <w:t xml:space="preserve"> </w:t>
      </w:r>
      <w:r>
        <w:t xml:space="preserve">protection and the retention default -- what the rule is quantified over, and for how long. It</w:t>
      </w:r>
      <w:r>
        <w:t xml:space="preserve"> </w:t>
      </w:r>
      <w:r>
        <w:t xml:space="preserve">supplies no storage mechanism, and adopting it does not by itself make anything encrypted; it makes</w:t>
      </w:r>
      <w:r>
        <w:t xml:space="preserve"> </w:t>
      </w:r>
      <w:r>
        <w:t xml:space="preserve">the existing default in section 7 checkable, which it was not before. And it is a written artifact</w:t>
      </w:r>
      <w:r>
        <w:t xml:space="preserve"> </w:t>
      </w:r>
      <w:r>
        <w:t xml:space="preserve">rather than a release gate: it adds no blocking condition and weakens no requirement above it.</w:t>
      </w:r>
    </w:p>
    <w:p>
      <w:r>
        <w:pict>
          <v:rect style="width:0;height:1.5pt" o:hralign="center" o:hrstd="t" o:hr="t"/>
        </w:pict>
      </w:r>
    </w:p>
    <w:bookmarkEnd w:id="19"/>
    <w:bookmarkEnd w:id="20"/>
    <w:bookmarkStart w:id="22" w:name="Xac02c7d32d5bb277c9e44f3436addfe1b1747df"/>
    <w:p>
      <w:pPr>
        <w:pStyle w:val="Heading2"/>
      </w:pPr>
      <w:r>
        <w:t xml:space="preserve">2. Threat model each trust boundary before you build it</w:t>
      </w:r>
    </w:p>
    <w:p>
      <w:pPr>
        <w:pStyle w:val="FirstParagraph"/>
      </w:pPr>
      <w:r>
        <w:t xml:space="preserve">A</w:t>
      </w:r>
      <w:r>
        <w:t xml:space="preserve"> </w:t>
      </w:r>
      <w:r>
        <w:rPr>
          <w:b/>
          <w:bCs/>
        </w:rPr>
        <w:t xml:space="preserve">trust boundary</w:t>
      </w:r>
      <w:r>
        <w:t xml:space="preserve"> </w:t>
      </w:r>
      <w:r>
        <w:t xml:space="preserve">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6"/>
        </w:numPr>
      </w:pPr>
      <w:r>
        <w:rPr>
          <w:b/>
          <w:bCs/>
        </w:rPr>
        <w:t xml:space="preserve">Reviewed against the security requirements before code exists.</w:t>
      </w:r>
      <w:r>
        <w:t xml:space="preserve"> </w:t>
      </w:r>
      <w:r>
        <w:t xml:space="preserve">After the build it becomes</w:t>
      </w:r>
      <w:r>
        <w:t xml:space="preserve"> </w:t>
      </w:r>
      <w:r>
        <w:t xml:space="preserve">documentation; before the build it is a design gate.</w:t>
      </w:r>
    </w:p>
    <w:p>
      <w:pPr>
        <w:pStyle w:val="Compact"/>
        <w:numPr>
          <w:ilvl w:val="0"/>
          <w:numId w:val="1006"/>
        </w:numPr>
      </w:pPr>
      <w:r>
        <w:rPr>
          <w:b/>
          <w:bCs/>
        </w:rPr>
        <w:t xml:space="preserve">The specification the later review checks against.</w:t>
      </w:r>
      <w:r>
        <w:t xml:space="preserve"> </w:t>
      </w:r>
      <w:r>
        <w:t xml:space="preserve">The reviewed artifact plus its acceptance</w:t>
      </w:r>
      <w:r>
        <w:t xml:space="preserve"> </w:t>
      </w:r>
      <w:r>
        <w:t xml:space="preserve">criteria are what a change is compared to -- without them, review has nothing but taste.</w:t>
      </w:r>
    </w:p>
    <w:p>
      <w:pPr>
        <w:pStyle w:val="Compact"/>
        <w:numPr>
          <w:ilvl w:val="0"/>
          <w:numId w:val="1006"/>
        </w:numPr>
      </w:pPr>
      <w:r>
        <w:rPr>
          <w:b/>
          <w:bCs/>
        </w:rPr>
        <w:t xml:space="preserve">Artifact-checked and advisory, not a scanner.</w:t>
      </w:r>
      <w:r>
        <w:t xml:space="preserve"> </w:t>
      </w:r>
      <w:r>
        <w:t xml:space="preserve">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rPr>
          <w:b/>
          <w:bCs/>
        </w:rP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 section 3 cover</w:t>
      </w:r>
      <w:r>
        <w:t xml:space="preserve"> </w:t>
      </w:r>
      <w:r>
        <w:t xml:space="preserve">confidentiality and integrity almost exclusively, and the one availability control on this page --</w:t>
      </w:r>
      <w:r>
        <w:t xml:space="preserve"> </w:t>
      </w:r>
      <w:r>
        <w:t xml:space="preserve">rate limits and timeouts -- used to sit inside section 3's structured-document bullet, as though a</w:t>
      </w:r>
      <w:r>
        <w:t xml:space="preserve"> </w:t>
      </w:r>
      <w:r>
        <w:t xml:space="preserve">parser were the only thing that can be exhausted; that bullet now points here instead. Availability</w:t>
      </w:r>
      <w:r>
        <w:t xml:space="preserve"> </w:t>
      </w:r>
      <w:r>
        <w:t xml:space="preserve">is a co-equal third objective. So for each boundary in the model, name the maximum payload size, the</w:t>
      </w:r>
      <w:r>
        <w:t xml:space="preserve"> </w:t>
      </w:r>
      <w:r>
        <w:t xml:space="preserve">request rate, the concurrency and the total time budget that a hostile input cannot exceed. An</w:t>
      </w:r>
      <w:r>
        <w:t xml:space="preserve"> </w:t>
      </w:r>
      <w:r>
        <w:t xml:space="preserve">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 section 5: the</w:t>
      </w:r>
      <w:r>
        <w:t xml:space="preserve"> </w:t>
      </w:r>
      <w:r>
        <w:t xml:space="preserve">bound is a constant in the code, so the check is one grep from each row of the boundary list to the</w:t>
      </w:r>
      <w:r>
        <w:t xml:space="preserve"> </w:t>
      </w:r>
      <w:r>
        <w:t xml:space="preserve">constant that enforces it. The common residual is the limit set on the boundary somebody thought</w:t>
      </w:r>
      <w:r>
        <w:t xml:space="preserve"> </w:t>
      </w:r>
      <w:r>
        <w:t xml:space="preserve">about and absent on its three siblings. Naming the bound records what is already there or reveals</w:t>
      </w:r>
      <w:r>
        <w:t xml:space="preserve"> </w:t>
      </w:r>
      <w:r>
        <w:t xml:space="preserve">that it is not; it introduces no new blocking release gate.</w:t>
      </w:r>
    </w:p>
    <w:p>
      <w:pPr>
        <w:pStyle w:val="BodyText"/>
      </w:pPr>
      <w:r>
        <w:rPr>
          <w:b/>
          <w:bCs/>
        </w:rP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 section 15, where this document previously said otherwise.</w:t>
      </w:r>
    </w:p>
    <w:p>
      <w:pPr>
        <w:pStyle w:val="BodyText"/>
      </w:pPr>
      <w:r>
        <w:t xml:space="preserve">Section 5 classifies it, explicitly, as</w:t>
      </w:r>
      <w:r>
        <w:t xml:space="preserve"> </w:t>
      </w:r>
      <w:r>
        <w:rPr>
          <w:b/>
          <w:bCs/>
        </w:rPr>
        <w:t xml:space="preserve">advisory</w:t>
      </w:r>
      <w:r>
        <w:t xml:space="preserve">: a scheduled job is by that section's definition</w:t>
      </w:r>
      <w:r>
        <w:t xml:space="preserve"> </w:t>
      </w:r>
      <w:r>
        <w:t xml:space="preserve">not coverage, and this one must not be wired to block, because its triage burden lands on the same</w:t>
      </w:r>
      <w:r>
        <w:t xml:space="preserve"> </w:t>
      </w:r>
      <w:r>
        <w:t xml:space="preserve">person who would otherwise be shipping. Carry the coverage hedge with it: a fuzzer that never gets</w:t>
      </w:r>
      <w:r>
        <w:t xml:space="preserve"> </w:t>
      </w:r>
      <w:r>
        <w:t xml:space="preserve">past the first parse call is the dynamic-testing equivalent of a clean run on a weak ruleset. And be</w:t>
      </w:r>
      <w:r>
        <w:t xml:space="preserve"> </w:t>
      </w:r>
      <w:r>
        <w:t xml:space="preserve">precise about reach: this gets at parser, decoder and boundary surfaces, not at the whole built</w:t>
      </w:r>
      <w:r>
        <w:t xml:space="preserve"> </w:t>
      </w:r>
      <w:r>
        <w:t xml:space="preserve">artifact, so it narrows the dynamic-testing gap rather than closing it. Do not write it up as</w:t>
      </w:r>
      <w:r>
        <w:t xml:space="preserve"> </w:t>
      </w:r>
      <w:r>
        <w:t xml:space="preserve">closed.</w:t>
      </w:r>
    </w:p>
    <w:bookmarkStart w:id="21"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7"/>
        </w:numPr>
      </w:pPr>
      <w:r>
        <w:t xml:space="preserve">Is there any path that reaches execution without the vet running? Check every caller, not the</w:t>
      </w:r>
      <w:r>
        <w:t xml:space="preserve"> </w:t>
      </w:r>
      <w:r>
        <w:t xml:space="preserve">documented one.</w:t>
      </w:r>
    </w:p>
    <w:p>
      <w:pPr>
        <w:pStyle w:val="Compact"/>
        <w:numPr>
          <w:ilvl w:val="0"/>
          <w:numId w:val="1007"/>
        </w:numPr>
      </w:pPr>
      <w:r>
        <w:t xml:space="preserve">Does it fail closed, with no silent downgrade when the intended backend is absent?</w:t>
      </w:r>
    </w:p>
    <w:p>
      <w:pPr>
        <w:pStyle w:val="Compact"/>
        <w:numPr>
          <w:ilvl w:val="0"/>
          <w:numId w:val="1007"/>
        </w:numPr>
      </w:pPr>
      <w:r>
        <w:t xml:space="preserve">Is the load target validated against a fixed known set, so input cannot trigger an arbitrary</w:t>
      </w:r>
      <w:r>
        <w:t xml:space="preserve"> </w:t>
      </w:r>
      <w:r>
        <w:t xml:space="preserve">import?</w:t>
      </w:r>
    </w:p>
    <w:p>
      <w:pPr>
        <w:pStyle w:val="Compact"/>
        <w:numPr>
          <w:ilvl w:val="0"/>
          <w:numId w:val="1007"/>
        </w:numPr>
      </w:pPr>
      <w:r>
        <w:t xml:space="preserve">Does the vet cover the whole executable surface or only the obvious top level?</w:t>
      </w:r>
    </w:p>
    <w:p>
      <w:pPr>
        <w:pStyle w:val="Compact"/>
        <w:numPr>
          <w:ilvl w:val="0"/>
          <w:numId w:val="1007"/>
        </w:numPr>
      </w:pPr>
      <w:r>
        <w:t xml:space="preserve">Does it follow links, so a vetted-looking entry can point somewhere writable?</w:t>
      </w:r>
    </w:p>
    <w:p>
      <w:pPr>
        <w:pStyle w:val="Compact"/>
        <w:numPr>
          <w:ilvl w:val="0"/>
          <w:numId w:val="1007"/>
        </w:numPr>
      </w:pPr>
      <w:r>
        <w:t xml:space="preserve">Is the check skipped under a privileged account?</w:t>
      </w:r>
    </w:p>
    <w:p>
      <w:pPr>
        <w:pStyle w:val="Compact"/>
        <w:numPr>
          <w:ilvl w:val="0"/>
          <w:numId w:val="100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1"/>
    <w:bookmarkEnd w:id="22"/>
    <w:bookmarkStart w:id="24"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8"/>
        </w:numPr>
      </w:pPr>
      <w:r>
        <w:rPr>
          <w:b/>
          <w:bCs/>
        </w:rPr>
        <w:t xml:space="preserve">Validate structure and content of every inbound payload at ingress.</w:t>
      </w:r>
      <w:r>
        <w:t xml:space="preserve"> </w:t>
      </w:r>
      <w:r>
        <w:t xml:space="preserve">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8"/>
        </w:numPr>
      </w:pPr>
      <w:r>
        <w:rPr>
          <w:b/>
          <w:bCs/>
        </w:rPr>
        <w:t xml:space="preserve">Parameterised queries only.</w:t>
      </w:r>
      <w:r>
        <w:t xml:space="preserve"> </w:t>
      </w:r>
      <w:r>
        <w:t xml:space="preserve">No string-built statements anywhere, no exceptions held open by a</w:t>
      </w:r>
      <w:r>
        <w:t xml:space="preserve"> </w:t>
      </w:r>
      <w:r>
        <w:t xml:space="preserve">comment.</w:t>
      </w:r>
    </w:p>
    <w:p>
      <w:pPr>
        <w:pStyle w:val="Compact"/>
        <w:numPr>
          <w:ilvl w:val="0"/>
          <w:numId w:val="1008"/>
        </w:numPr>
      </w:pPr>
      <w:r>
        <w:rPr>
          <w:b/>
          <w:bCs/>
        </w:rPr>
        <w:t xml:space="preserve">Authentication and authorization enforced on every action, deny by default.</w:t>
      </w:r>
    </w:p>
    <w:p>
      <w:pPr>
        <w:pStyle w:val="Compact"/>
        <w:numPr>
          <w:ilvl w:val="0"/>
          <w:numId w:val="1008"/>
        </w:numPr>
      </w:pPr>
      <w:r>
        <w:rPr>
          <w:b/>
          <w:bCs/>
        </w:rPr>
        <w:t xml:space="preserve">For anything that parses structured documents:</w:t>
      </w:r>
      <w:r>
        <w:t xml:space="preserve"> </w:t>
      </w:r>
      <w:r>
        <w:t xml:space="preserve">disable external-entity resolution and</w:t>
      </w:r>
      <w:r>
        <w:t xml:space="preserve"> </w:t>
      </w:r>
      <w:r>
        <w:t xml:space="preserve">document-type processing, size-limit payloads against a schema, apply that boundary's resource</w:t>
      </w:r>
      <w:r>
        <w:t xml:space="preserve"> </w:t>
      </w:r>
      <w:r>
        <w:t xml:space="preserve">bounds from section 2 rather than a rate limit and timeout invented here, and never return internal</w:t>
      </w:r>
      <w:r>
        <w:t xml:space="preserve"> </w:t>
      </w:r>
      <w:r>
        <w:t xml:space="preserve">detail in a fault response.</w:t>
      </w:r>
    </w:p>
    <w:p>
      <w:pPr>
        <w:pStyle w:val="Compact"/>
        <w:numPr>
          <w:ilvl w:val="0"/>
          <w:numId w:val="1008"/>
        </w:numPr>
      </w:pPr>
      <w:r>
        <w:rPr>
          <w:b/>
          <w:bCs/>
        </w:rPr>
        <w:t xml:space="preserve">For file handling:</w:t>
      </w:r>
      <w:r>
        <w:t xml:space="preserve"> </w:t>
      </w:r>
      <w:r>
        <w:t xml:space="preserve">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8"/>
        </w:numPr>
      </w:pPr>
      <w:r>
        <w:rPr>
          <w:b/>
          <w:bCs/>
        </w:rPr>
        <w:t xml:space="preserve">Use vetted cryptographic libraries.</w:t>
      </w:r>
      <w:r>
        <w:t xml:space="preserve"> </w:t>
      </w:r>
      <w:r>
        <w:t xml:space="preserve">Never roll your own.</w:t>
      </w:r>
    </w:p>
    <w:p>
      <w:pPr>
        <w:pStyle w:val="Compact"/>
        <w:numPr>
          <w:ilvl w:val="0"/>
          <w:numId w:val="1008"/>
        </w:numPr>
      </w:pPr>
      <w:r>
        <w:rPr>
          <w:b/>
          <w:bCs/>
        </w:rPr>
        <w:t xml:space="preserve">Fail closed on error.</w:t>
      </w:r>
      <w:r>
        <w:t xml:space="preserve"> </w:t>
      </w:r>
      <w:r>
        <w:t xml:space="preserve">Never log secrets or restricted data, as section 1's 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3">
        <w:r>
          <w:rPr>
            <w:rStyle w:val="Hyperlink"/>
          </w:rPr>
          <w:t xml:space="preserve">CI and standards</w:t>
        </w:r>
      </w:hyperlink>
      <w:r>
        <w:t xml:space="preserve">.</w:t>
      </w:r>
    </w:p>
    <w:p>
      <w:r>
        <w:pict>
          <v:rect style="width:0;height:1.5pt" o:hralign="center" o:hrstd="t" o:hr="t"/>
        </w:pict>
      </w:r>
    </w:p>
    <w:bookmarkEnd w:id="24"/>
    <w:bookmarkStart w:id="29"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5"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5"/>
    <w:bookmarkStart w:id="27"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6">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3">
        <w:r>
          <w:rPr>
            <w:rStyle w:val="Hyperlink"/>
          </w:rPr>
          <w:t xml:space="preserve">CI and standards</w:t>
        </w:r>
      </w:hyperlink>
      <w:r>
        <w:t xml:space="preserve">.</w:t>
      </w:r>
    </w:p>
    <w:bookmarkEnd w:id="27"/>
    <w:bookmarkStart w:id="28"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28"/>
    <w:bookmarkEnd w:id="29"/>
    <w:bookmarkStart w:id="34"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1"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09"/>
        </w:numPr>
      </w:pPr>
      <w:r>
        <w:t xml:space="preserve">Static analysis, red on any new finding from a clean baseline.</w:t>
      </w:r>
    </w:p>
    <w:p>
      <w:pPr>
        <w:pStyle w:val="Compact"/>
        <w:numPr>
          <w:ilvl w:val="0"/>
          <w:numId w:val="1009"/>
        </w:numPr>
      </w:pPr>
      <w:r>
        <w:t xml:space="preserve">Dependency vulnerability analysis, red on any new advisory.</w:t>
      </w:r>
    </w:p>
    <w:p>
      <w:pPr>
        <w:pStyle w:val="Compact"/>
        <w:numPr>
          <w:ilvl w:val="0"/>
          <w:numId w:val="1009"/>
        </w:numPr>
      </w:pPr>
      <w:r>
        <w:t xml:space="preserve">Secret scanning, over the full history, not only the diff.</w:t>
      </w:r>
    </w:p>
    <w:p>
      <w:pPr>
        <w:pStyle w:val="FirstParagraph"/>
      </w:pPr>
      <w:r>
        <w:t xml:space="preserve">Mechanics for all three are already published.</w:t>
      </w:r>
      <w:r>
        <w:t xml:space="preserve"> </w:t>
      </w:r>
      <w:hyperlink r:id="rId23">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0">
        <w:r>
          <w:rPr>
            <w:rStyle w:val="Hyperlink"/>
          </w:rPr>
          <w:t xml:space="preserve">the leak gate</w:t>
        </w:r>
      </w:hyperlink>
      <w:r>
        <w:t xml:space="preserve">.</w:t>
      </w:r>
    </w:p>
    <w:p>
      <w:pPr>
        <w:pStyle w:val="BodyText"/>
      </w:pPr>
      <w:r>
        <w:t xml:space="preserve">The scheduled malformed-input harness described in section 2 is classified here, explicitly, as</w:t>
      </w:r>
      <w:r>
        <w:t xml:space="preserve"> </w:t>
      </w:r>
      <w:r>
        <w:rPr>
          <w:b/>
          <w:bCs/>
        </w:rPr>
        <w:t xml:space="preserve">advisory</w:t>
      </w:r>
      <w:r>
        <w:t xml:space="preserve">. It is a real control and it is not coverage, and both halves of that have to be written</w:t>
      </w:r>
      <w:r>
        <w:t xml:space="preserve"> </w:t>
      </w:r>
      <w:r>
        <w:t xml:space="preserve">down, or the tool inventory grows while the blocking set stands still.</w:t>
      </w:r>
    </w:p>
    <w:bookmarkEnd w:id="31"/>
    <w:bookmarkStart w:id="32" w:name="X8e84579fd545af19ab8cb79c93491972da372eb"/>
    <w:p>
      <w:pPr>
        <w:pStyle w:val="Heading3"/>
      </w:pPr>
      <w:r>
        <w:t xml:space="preserve">Three additions specific to a security posture</w:t>
      </w:r>
    </w:p>
    <w:p>
      <w:pPr>
        <w:pStyle w:val="FirstParagraph"/>
      </w:pPr>
      <w:r>
        <w:rPr>
          <w:b/>
          <w:bCs/>
        </w:rPr>
        <w:t xml:space="preserve">A clean run is a start condition, not a certificate.</w:t>
      </w:r>
      <w:r>
        <w:t xml:space="preserve"> </w:t>
      </w:r>
      <w:r>
        <w:t xml:space="preserve">Zero findings on a weak ruleset proves</w:t>
      </w:r>
      <w:r>
        <w:t xml:space="preserve"> </w:t>
      </w:r>
      <w:r>
        <w:t xml:space="preserve">nothing at all. What the clean baseline buys you is the ability to enforce red-on-regression; that is</w:t>
      </w:r>
      <w:r>
        <w:t xml:space="preserve"> </w:t>
      </w:r>
      <w:r>
        <w:t xml:space="preserve">the whole of its value.</w:t>
      </w:r>
    </w:p>
    <w:p>
      <w:pPr>
        <w:pStyle w:val="BodyText"/>
      </w:pPr>
      <w:r>
        <w:rPr>
          <w:b/>
          <w:bCs/>
        </w:rPr>
        <w:t xml:space="preserve">Confirm the gate can see the class it exists to catch.</w:t>
      </w:r>
      <w:r>
        <w:t xml:space="preserve"> </w:t>
      </w:r>
      <w:r>
        <w:t xml:space="preserve">A green gate is evidence only once you</w:t>
      </w:r>
      <w:r>
        <w:t xml:space="preserve"> </w:t>
      </w:r>
      <w:r>
        <w:t xml:space="preserve">have fired the failure class at it and watched it go red. This is stated in full under</w:t>
      </w:r>
      <w:r>
        <w:t xml:space="preserve"> </w:t>
      </w:r>
      <w:r>
        <w:rPr>
          <w:i/>
          <w:iCs/>
        </w:rPr>
        <w:t xml:space="preserve">Attack the</w:t>
      </w:r>
      <w:r>
        <w:rPr>
          <w:i/>
          <w:iCs/>
        </w:rPr>
        <w:t xml:space="preserve"> </w:t>
      </w:r>
      <w:r>
        <w:rPr>
          <w:i/>
          <w:iCs/>
        </w:rPr>
        <w:t xml:space="preserve">control with the failure class it was built to catch</w:t>
      </w:r>
      <w:r>
        <w:t xml:space="preserve"> </w:t>
      </w:r>
      <w:r>
        <w:t xml:space="preserve">in</w:t>
      </w:r>
      <w:r>
        <w:t xml:space="preserve"> </w:t>
      </w:r>
      <w:hyperlink r:id="rId23">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 the</w:t>
      </w:r>
      <w:r>
        <w:t xml:space="preserve"> </w:t>
      </w:r>
      <w:r>
        <w:t xml:space="preserve">commit carrying the fix, never by the fix merging -- is in section 12. It is one rule read at two</w:t>
      </w:r>
      <w:r>
        <w:t xml:space="preserve"> </w:t>
      </w:r>
      <w:r>
        <w:t xml:space="preserve">scales, not two rules.</w:t>
      </w:r>
    </w:p>
    <w:p>
      <w:pPr>
        <w:pStyle w:val="BodyText"/>
      </w:pPr>
      <w:r>
        <w:rPr>
          <w:b/>
          <w:bCs/>
        </w:rPr>
        <w:t xml:space="preserve">Enumerate the sibling paths.</w:t>
      </w:r>
      <w:r>
        <w:t xml:space="preserve"> </w:t>
      </w:r>
      <w:r>
        <w:t xml:space="preserve">A control implemented exactly where it was prompted, and missing on</w:t>
      </w:r>
      <w:r>
        <w:t xml:space="preserve"> </w:t>
      </w:r>
      <w:r>
        <w:t xml:space="preserve">its siblings, is the single most common residual after an agent-run security sweep. Encode the</w:t>
      </w:r>
      <w:r>
        <w:t xml:space="preserve"> </w:t>
      </w:r>
      <w:r>
        <w:t xml:space="preserve">control as one deterministic check shared across every path rather than as a habit applied per path.</w:t>
      </w:r>
    </w:p>
    <w:p>
      <w:pPr>
        <w:pStyle w:val="BodyText"/>
      </w:pPr>
      <w:r>
        <w:rPr>
          <w:b/>
          <w:bCs/>
        </w:rPr>
        <w:t xml:space="preserve">Record rigor and scope as two separate values for each blocking check, never as one.</w:t>
      </w:r>
      <w:r>
        <w:t xml:space="preserve"> </w:t>
      </w:r>
      <w:r>
        <w:t xml:space="preserve">A check that</w:t>
      </w:r>
      <w:r>
        <w:t xml:space="preserve"> </w:t>
      </w:r>
      <w:r>
        <w:t xml:space="preserve">ran on one path at high rigor and a check that ran on every path at low rigor both report green, and</w:t>
      </w:r>
      <w:r>
        <w:t xml:space="preserve"> </w:t>
      </w:r>
      <w:r>
        <w:t xml:space="preserve">no tool will tell you which of the two you have. Against each check in the blocking list, note how</w:t>
      </w:r>
      <w:r>
        <w:t xml:space="preserve"> </w:t>
      </w:r>
      <w:r>
        <w:t xml:space="preserve">deep it looks -- a pattern match, a taint analysis, an executed test -- and how much of the surface it</w:t>
      </w:r>
      <w:r>
        <w:t xml:space="preserve"> </w:t>
      </w:r>
      <w:r>
        <w:t xml:space="preserve">covers: this module, every sibling, the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have rather than requiring anything new, so it adds no blocking condition.</w:t>
      </w:r>
    </w:p>
    <w:bookmarkEnd w:id="32"/>
    <w:bookmarkStart w:id="33"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3"/>
    <w:bookmarkEnd w:id="34"/>
    <w:bookmarkStart w:id="35"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0">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3">
        <w:r>
          <w:rPr>
            <w:rStyle w:val="Hyperlink"/>
          </w:rPr>
          <w:t xml:space="preserve">CI and standards</w:t>
        </w:r>
      </w:hyperlink>
      <w:r>
        <w:t xml:space="preserve">. Two points belong to the process rather than the scanner.</w:t>
      </w:r>
    </w:p>
    <w:p>
      <w:pPr>
        <w:pStyle w:val="BodyText"/>
      </w:pPr>
      <w:r>
        <w:rPr>
          <w:b/>
          <w:bCs/>
        </w:rPr>
        <w:t xml:space="preserve">A path deny-list is not a content control.</w:t>
      </w:r>
      <w:r>
        <w:t xml:space="preserve"> </w:t>
      </w:r>
      <w:r>
        <w:t xml:space="preserve">It keeps a file from being read; it does nothing about</w:t>
      </w:r>
      <w:r>
        <w:t xml:space="preserve"> </w:t>
      </w:r>
      <w:r>
        <w:t xml:space="preserve">the same content typed into a different file. Pair it with a fail-closed commit-time content scan.</w:t>
      </w:r>
    </w:p>
    <w:p>
      <w:pPr>
        <w:pStyle w:val="BodyText"/>
      </w:pPr>
      <w:r>
        <w:rPr>
          <w:b/>
          <w:bCs/>
        </w:rPr>
        <w:t xml:space="preserve">A commit-time scanner is not a live interceptor.</w:t>
      </w:r>
      <w:r>
        <w:t xml:space="preserve"> </w:t>
      </w:r>
      <w:r>
        <w:t xml:space="preserve">It sees what lands in a commit. It does not see</w:t>
      </w:r>
      <w:r>
        <w:t xml:space="preserve"> </w:t>
      </w:r>
      <w:r>
        <w:t xml:space="preserve">an 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5"/>
    <w:bookmarkStart w:id="38"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 section 1's table</w:t>
      </w:r>
      <w:r>
        <w:t xml:space="preserve"> </w:t>
      </w:r>
      <w:r>
        <w:t xml:space="preserve">names for a restricted class, least-privilege accounts, and verbose audit logging. Any insecure</w:t>
      </w:r>
      <w:r>
        <w:t xml:space="preserve"> </w:t>
      </w:r>
      <w:r>
        <w:t xml:space="preserve">posture is an explicit, named, documented and audited opt-in behind a fail-closed guard -- never a</w:t>
      </w:r>
      <w:r>
        <w:t xml:space="preserve"> </w:t>
      </w:r>
      <w:r>
        <w:t xml:space="preserve">posture a deployment inherits by 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rPr>
          <w:b/>
          <w:bCs/>
        </w:rPr>
        <w:t xml:space="preserve">Off by default, described as active.</w:t>
      </w:r>
      <w:r>
        <w:t xml:space="preserve"> </w:t>
      </w:r>
      <w:r>
        <w:t xml:space="preserve">The code exists; nothing is running.</w:t>
      </w:r>
    </w:p>
    <w:p>
      <w:pPr>
        <w:pStyle w:val="BodyText"/>
      </w:pPr>
      <w:r>
        <w:rPr>
          <w:b/>
          <w:bCs/>
        </w:rPr>
        <w:t xml:space="preserve">Fail-closed, mis-read as inert.</w:t>
      </w:r>
      <w:r>
        <w:t xml:space="preserve"> </w:t>
      </w:r>
      <w:r>
        <w:t xml:space="preserve">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3">
        <w:r>
          <w:rPr>
            <w:rStyle w:val="Hyperlink"/>
          </w:rPr>
          <w:t xml:space="preserve">CI and standards</w:t>
        </w:r>
      </w:hyperlink>
      <w:r>
        <w:t xml:space="preserve">.</w:t>
      </w:r>
    </w:p>
    <w:bookmarkStart w:id="36" w:name="Xb97d7c0c1ae0709af64fd2b41a96e8b87e7072c"/>
    <w:p>
      <w:pPr>
        <w:pStyle w:val="Heading3"/>
      </w:pPr>
      <w:r>
        <w:t xml:space="preserve">Synthetic data by default in anything that is not production</w:t>
      </w:r>
    </w:p>
    <w:p>
      <w:pPr>
        <w:pStyle w:val="FirstParagraph"/>
      </w:pPr>
      <w:r>
        <w:rPr>
          <w:b/>
          <w:bCs/>
        </w:rPr>
        <w:t xml:space="preserve">Test, development and preproduction environments run on synthetic or dummy data, and any use of</w:t>
      </w:r>
      <w:r>
        <w:rPr>
          <w:b/>
          <w:bCs/>
        </w:rPr>
        <w:t xml:space="preserve"> </w:t>
      </w:r>
      <w:r>
        <w:rPr>
          <w:b/>
          <w:bCs/>
        </w:rPr>
        <w:t xml:space="preserve">live or operational data is approved, documented and dated in the section 13 deviations register,</w:t>
      </w:r>
      <w:r>
        <w:rPr>
          <w:b/>
          <w:bCs/>
        </w:rPr>
        <w:t xml:space="preserve"> </w:t>
      </w:r>
      <w:r>
        <w:rPr>
          <w:b/>
          <w:bCs/>
        </w:rPr>
        <w:t xml:space="preserve">with that environment protected to the same level as the system the data came from for as long as it</w:t>
      </w:r>
      <w:r>
        <w:rPr>
          <w:b/>
          <w:bCs/>
        </w:rPr>
        <w:t xml:space="preserve"> </w:t>
      </w:r>
      <w:r>
        <w:rPr>
          <w:b/>
          <w:bCs/>
        </w:rPr>
        <w:t xml:space="preserve">is present.</w:t>
      </w:r>
      <w:r>
        <w:t xml:space="preserve"> </w:t>
      </w:r>
      <w:r>
        <w:rPr>
          <w:b/>
          <w:bCs/>
        </w:rPr>
        <w:t xml:space="preserve">[derived: 800-53 SA-3(2)]</w:t>
      </w:r>
      <w:r>
        <w:t xml:space="preserve"> </w:t>
      </w:r>
      <w:r>
        <w:t xml:space="preserve">The approve-document-control clause and the equal-level</w:t>
      </w:r>
      <w:r>
        <w:t xml:space="preserve"> </w:t>
      </w:r>
      <w:r>
        <w:t xml:space="preserve">clause are the control; synthetic-by-default is the posture its own discussion directs, stated here</w:t>
      </w:r>
      <w:r>
        <w:t xml:space="preserve"> </w:t>
      </w:r>
      <w:r>
        <w:t xml:space="preserve">as the default 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 section 1's table would otherwise list bare: the test fixture. The evidence is the</w:t>
      </w:r>
      <w:r>
        <w:t xml:space="preserve"> </w:t>
      </w:r>
      <w:r>
        <w:t xml:space="preserve">fixture or the generator that produces the synthetic data, plus a dated register entry naming what was</w:t>
      </w:r>
      <w:r>
        <w:t xml:space="preserve"> </w:t>
      </w:r>
      <w:r>
        <w:t xml:space="preserve">copied, where it went, and when it was destroyed. This is a default and a register route, not a new</w:t>
      </w:r>
      <w:r>
        <w:t xml:space="preserve"> </w:t>
      </w:r>
      <w:r>
        <w:t xml:space="preserve">blocking release gate.</w:t>
      </w:r>
    </w:p>
    <w:bookmarkEnd w:id="36"/>
    <w:bookmarkStart w:id="37"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 section 9 audit log has an</w:t>
      </w:r>
      <w:r>
        <w:t xml:space="preserve"> </w:t>
      </w:r>
      <w:r>
        <w:t xml:space="preserve">entry-level rule about keeping payloads out and says nothing about the accumulated record. The</w:t>
      </w:r>
      <w:r>
        <w:t xml:space="preserve"> </w:t>
      </w:r>
      <w:r>
        <w:t xml:space="preserve">section 10 release archive holds the artifact plus its build inputs plus its inventory, and is</w:t>
      </w:r>
      <w:r>
        <w:t xml:space="preserve"> </w:t>
      </w:r>
      <w:r>
        <w:t xml:space="preserve">therefore a map of the whole system that no single input is. The</w:t>
      </w:r>
      <w:r>
        <w:t xml:space="preserve"> </w:t>
      </w:r>
      <w:r>
        <w:t xml:space="preserve">section 13 deviations register is the third. Each is individually innocuous, and collectively they are</w:t>
      </w:r>
      <w:r>
        <w:t xml:space="preserve"> </w:t>
      </w:r>
      <w:r>
        <w:t xml:space="preserve">the thing an attacker would actually want.</w:t>
      </w:r>
    </w:p>
    <w:p>
      <w:pPr>
        <w:pStyle w:val="BodyText"/>
      </w:pPr>
      <w:r>
        <w:t xml:space="preserve">Section 13 already reaches the right answer for the register -- publish the rule, not the inventory --</w:t>
      </w:r>
      <w:r>
        <w:t xml:space="preserve"> </w:t>
      </w:r>
      <w:r>
        <w:t xml:space="preserve">but it reaches it as a standalone instruction. Naming the roll-up as the principle is what generalises</w:t>
      </w:r>
      <w:r>
        <w:t xml:space="preserve"> </w:t>
      </w:r>
      <w:r>
        <w:t xml:space="preserve">it to the other two. This is a rating decision on three named artifacts rather than a process, and it</w:t>
      </w:r>
      <w:r>
        <w:t xml:space="preserve"> </w:t>
      </w:r>
      <w:r>
        <w:t xml:space="preserve">is evidenced by the access posture on each: who can read the archive, whether the register sits in the</w:t>
      </w:r>
      <w:r>
        <w:t xml:space="preserve"> </w:t>
      </w:r>
      <w:r>
        <w:t xml:space="preserve">published tree, and whether the audit log has a row in section 1's table.</w:t>
      </w:r>
    </w:p>
    <w:p>
      <w:r>
        <w:pict>
          <v:rect style="width:0;height:1.5pt" o:hralign="center" o:hrstd="t" o:hr="t"/>
        </w:pict>
      </w:r>
    </w:p>
    <w:bookmarkEnd w:id="37"/>
    <w:bookmarkEnd w:id="38"/>
    <w:bookmarkStart w:id="40" w:name="X08c545cdaea16d13c66d050a73fae11a3e2b4eb"/>
    <w:p>
      <w:pPr>
        <w:pStyle w:val="Heading2"/>
      </w:pPr>
      <w:r>
        <w:t xml:space="preserve">8. Machine-to-machine authentication</w:t>
      </w:r>
    </w:p>
    <w:p>
      <w:pPr>
        <w:pStyle w:val="FirstParagraph"/>
      </w:pPr>
      <w:r>
        <w:t xml:space="preserve">A caller that is a machine authenticates as a</w:t>
      </w:r>
      <w:r>
        <w:t xml:space="preserve"> </w:t>
      </w:r>
      <w:r>
        <w:rPr>
          <w:b/>
          <w:bCs/>
        </w:rPr>
        <w:t xml:space="preserve">system, not a person</w:t>
      </w:r>
      <w:r>
        <w:t xml:space="preserve">.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0"/>
        </w:numPr>
      </w:pPr>
      <w:r>
        <w:rPr>
          <w:b/>
          <w:bCs/>
        </w:rPr>
        <w:t xml:space="preserve">Mutual TLS</w:t>
      </w:r>
      <w:r>
        <w:t xml:space="preserve"> </w:t>
      </w:r>
      <w:r>
        <w:t xml:space="preserve">with full chain validation, revocation checking, and rotation before expiry.</w:t>
      </w:r>
    </w:p>
    <w:p>
      <w:pPr>
        <w:pStyle w:val="Compact"/>
        <w:numPr>
          <w:ilvl w:val="0"/>
          <w:numId w:val="1010"/>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0"/>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39"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9"/>
    <w:bookmarkEnd w:id="40"/>
    <w:bookmarkStart w:id="43"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1" w:name="X592ab2cc59a074e35b688ecba31d6bf75ef08fd"/>
    <w:p>
      <w:pPr>
        <w:pStyle w:val="Heading3"/>
      </w:pPr>
      <w:r>
        <w:t xml:space="preserve">What happens when the log cannot be written</w:t>
      </w:r>
    </w:p>
    <w:p>
      <w:pPr>
        <w:pStyle w:val="FirstParagraph"/>
      </w:pPr>
      <w:r>
        <w:rPr>
          <w:b/>
          <w:bCs/>
        </w:rPr>
        <w:t xml:space="preserve">State the behavior when the audit log is unwritable -- disk full, store unreachable, chain</w:t>
      </w:r>
      <w:r>
        <w:rPr>
          <w:b/>
          <w:bCs/>
        </w:rPr>
        <w:t xml:space="preserve"> </w:t>
      </w:r>
      <w:r>
        <w:rPr>
          <w:b/>
          <w:bCs/>
        </w:rPr>
        <w:t xml:space="preserve">verification failing -- as an explicit fail-open or fail-closed choice next to the code, and raise an</w:t>
      </w:r>
      <w:r>
        <w:rPr>
          <w:b/>
          <w:bCs/>
        </w:rPr>
        <w:t xml:space="preserve"> </w:t>
      </w:r>
      <w:r>
        <w:rPr>
          <w:b/>
          <w:bCs/>
        </w:rP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r>
        <w:t xml:space="preserve">section 7's -- state fail-open versus fail-closed next to the code -- applied to the one component</w:t>
      </w:r>
      <w:r>
        <w:t xml:space="preserve"> </w:t>
      </w:r>
      <w:r>
        <w:t xml:space="preserve">whose failure removes the evidence that anything failed at all, which is why it is prompted by AU-5</w:t>
      </w:r>
      <w:r>
        <w:t xml:space="preserve"> </w:t>
      </w:r>
      <w:r>
        <w:t xml:space="preserve">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1"/>
    <w:bookmarkStart w:id="42"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r>
        <w:t xml:space="preserve">section 1 exists to stop going unowned: it is easy for a producer to assume the operator reviews the</w:t>
      </w:r>
      <w:r>
        <w:t xml:space="preserve"> </w:t>
      </w:r>
      <w:r>
        <w:t xml:space="preserve">log and for the operator to assume the log is reviewed by whoever built it.</w:t>
      </w:r>
    </w:p>
    <w:p>
      <w:pPr>
        <w:pStyle w:val="BodyText"/>
      </w:pPr>
      <w:r>
        <w:rPr>
          <w:b/>
          <w:bCs/>
        </w:rP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 section 1's table rather</w:t>
      </w:r>
      <w:r>
        <w:t xml:space="preserve"> </w:t>
      </w:r>
      <w:r>
        <w:t xml:space="preserve">than a sentence here. Not claiming the cadence is the correct outcome under the ownership rule rather</w:t>
      </w:r>
      <w:r>
        <w:t xml:space="preserve"> </w:t>
      </w:r>
      <w:r>
        <w:t xml:space="preserve">than a dodge, and writing it into the table is what makes that visible. Both halves are a feature and</w:t>
      </w:r>
      <w:r>
        <w:t xml:space="preserve"> </w:t>
      </w:r>
      <w:r>
        <w:t xml:space="preserve">a constant; neither adds a blocking release condition.</w:t>
      </w:r>
    </w:p>
    <w:p>
      <w:r>
        <w:pict>
          <v:rect style="width:0;height:1.5pt" o:hralign="center" o:hrstd="t" o:hr="t"/>
        </w:pict>
      </w:r>
    </w:p>
    <w:bookmarkEnd w:id="42"/>
    <w:bookmarkEnd w:id="43"/>
    <w:bookmarkStart w:id="48"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4"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and it is what</w:t>
      </w:r>
      <w:r>
        <w:t xml:space="preserve"> </w:t>
      </w:r>
      <w:r>
        <w:t xml:space="preserve">makes the provenance attestation below mean anything, since provenance tracing to somebody's machine</w:t>
      </w:r>
      <w:r>
        <w:t xml:space="preserve"> </w:t>
      </w:r>
      <w:r>
        <w:t xml:space="preserve">is provenance about nothing. What it does not buy is any defense against a malicious change that was</w:t>
      </w:r>
      <w:r>
        <w:t xml:space="preserve"> </w:t>
      </w:r>
      <w:r>
        <w:t xml:space="preserve">reviewed and merged.</w:t>
      </w:r>
    </w:p>
    <w:p>
      <w:pPr>
        <w:pStyle w:val="BodyText"/>
      </w:pPr>
      <w:r>
        <w:rPr>
          <w:b/>
          <w:bCs/>
        </w:rPr>
        <w:t xml:space="preserve">The workflow definition and every file the workflow sources fall under the same protected-path rules</w:t>
      </w:r>
      <w:r>
        <w:rPr>
          <w:b/>
          <w:bCs/>
        </w:rPr>
        <w:t xml:space="preserve"> </w:t>
      </w:r>
      <w:r>
        <w:rPr>
          <w:b/>
          <w:bCs/>
        </w:rPr>
        <w:t xml:space="preserve">as release code.</w:t>
      </w:r>
      <w:r>
        <w:t xml:space="preserve"> </w:t>
      </w:r>
      <w:r>
        <w:t xml:space="preserve">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rPr>
          <w:b/>
          <w:bCs/>
        </w:rPr>
        <w:t xml:space="preserve">The publishing capability is held by the workflow identity, and the human publishing path is closed</w:t>
      </w:r>
      <w:r>
        <w:rPr>
          <w:b/>
          <w:bCs/>
        </w:rPr>
        <w:t xml:space="preserve"> </w:t>
      </w:r>
      <w:r>
        <w:rPr>
          <w:b/>
          <w:bCs/>
        </w:rP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and it is the one worth writing down, because a path that exists and is not</w:t>
      </w:r>
      <w:r>
        <w:t xml:space="preserve"> </w:t>
      </w:r>
      <w:r>
        <w:t xml:space="preserve">used 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rPr>
          <w:b/>
          <w:bCs/>
        </w:rPr>
        <w:t xml:space="preserve">Enumerate every principal that can write to the trunk, administer the repository, or publish, and</w:t>
      </w:r>
      <w:r>
        <w:rPr>
          <w:b/>
          <w:bCs/>
        </w:rPr>
        <w:t xml:space="preserve"> </w:t>
      </w:r>
      <w:r>
        <w:rPr>
          <w:b/>
          <w:bCs/>
        </w:rP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 section 2 makes the boundary list an enumeration:</w:t>
      </w:r>
      <w:r>
        <w:t xml:space="preserve"> </w:t>
      </w:r>
      <w:r>
        <w:t xml:space="preserve">an entry nobody owns then shows up as a row nobody can explain, rather than as something nobody</w:t>
      </w:r>
      <w:r>
        <w:t xml:space="preserve"> </w:t>
      </w:r>
      <w:r>
        <w:t xml:space="preserve">thought to look for. The row worth staring at is the rarely-used automation token with publish scope,</w:t>
      </w:r>
      <w:r>
        <w:t xml:space="preserve"> </w:t>
      </w:r>
      <w:r>
        <w:t xml:space="preserve">which is a larger exposure than the maintainer's own account precisely because it has no session, no</w:t>
      </w:r>
      <w:r>
        <w:t xml:space="preserve"> </w:t>
      </w:r>
      <w:r>
        <w:t xml:space="preserve">notification and nobody watching it. Delete what is no longer needed at each pass and date the pass;</w:t>
      </w:r>
      <w:r>
        <w:t xml:space="preserve"> </w:t>
      </w:r>
      <w:r>
        <w:t xml:space="preserve">a dated export of the collaborator, deploy-key, installed-application and environment-protection</w:t>
      </w:r>
      <w:r>
        <w:t xml:space="preserve"> </w:t>
      </w:r>
      <w:r>
        <w:t xml:space="preserve">settings is the whole of the evidence. The honest caveat for a solo maintainer: this enumeration will</w:t>
      </w:r>
      <w:r>
        <w:t xml:space="preserve"> </w:t>
      </w:r>
      <w:r>
        <w:t xml:space="preserve">show one human holding everything, which is a finding for section 13 rather than a control to claim.</w:t>
      </w:r>
    </w:p>
    <w:p>
      <w:pPr>
        <w:pStyle w:val="BodyText"/>
      </w:pPr>
      <w:r>
        <w:rPr>
          <w:b/>
          <w:bCs/>
        </w:rPr>
        <w:t xml:space="preserve">Pin every action, image, plugin and tool the pipeline invokes to an immutable digest rather than a</w:t>
      </w:r>
      <w:r>
        <w:rPr>
          <w:b/>
          <w:bCs/>
        </w:rPr>
        <w:t xml:space="preserve"> </w:t>
      </w:r>
      <w:r>
        <w:rPr>
          <w:b/>
          <w:bCs/>
        </w:rP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w:t>
      </w:r>
      <w:r>
        <w:t xml:space="preserve"> </w:t>
      </w:r>
      <w:r>
        <w:t xml:space="preserve">missing. The cadence is the other half of it, because a pin that is never revisited silently becomes</w:t>
      </w:r>
      <w:r>
        <w:t xml:space="preserve"> </w:t>
      </w:r>
      <w:r>
        <w:t xml:space="preserve">an unpatched dependency -- which is exactly why a pinned digest and a blocking dependency-advisory</w:t>
      </w:r>
      <w:r>
        <w:t xml:space="preserve"> </w:t>
      </w:r>
      <w:r>
        <w:t xml:space="preserve">gate are complementary rather than redundant. State</w:t>
      </w:r>
      <w:r>
        <w:t xml:space="preserve"> </w:t>
      </w:r>
      <w:r>
        <w:t xml:space="preserve">the limit in the same paragraph, in this document's usual style: pinning establishes that you got the</w:t>
      </w:r>
      <w:r>
        <w:t xml:space="preserve"> </w:t>
      </w:r>
      <w:r>
        <w:t xml:space="preserve">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 section 16 and weaken nothing above them. Where one of them is not true today, closing</w:t>
      </w:r>
      <w:r>
        <w:t xml:space="preserve"> </w:t>
      </w:r>
      <w:r>
        <w:t xml:space="preserve">that gap is the work rather than the waiver.</w:t>
      </w:r>
    </w:p>
    <w:bookmarkEnd w:id="44"/>
    <w:bookmarkStart w:id="45" w:name="Xca148109ff5f44572641d020555735042fe03e4"/>
    <w:p>
      <w:pPr>
        <w:pStyle w:val="Heading3"/>
      </w:pPr>
      <w:r>
        <w:t xml:space="preserve">Publishing controls, and the limit each one carries</w:t>
      </w:r>
    </w:p>
    <w:p>
      <w:pPr>
        <w:pStyle w:val="FirstParagraph"/>
      </w:pPr>
      <w:r>
        <w:rPr>
          <w:b/>
          <w:bCs/>
        </w:rPr>
        <w:t xml:space="preserve">Publishing credentials.</w:t>
      </w:r>
      <w:r>
        <w:t xml:space="preserve"> </w:t>
      </w:r>
      <w:r>
        <w:t xml:space="preserve">Replace long-lived registry tokens with credentials minted per run from</w:t>
      </w:r>
      <w:r>
        <w:t xml:space="preserve"> </w:t>
      </w:r>
      <w:r>
        <w:t xml:space="preserve">the 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rPr>
          <w:b/>
          <w:bCs/>
        </w:rPr>
        <w:t xml:space="preserve">Measure whether a signing scheme is verifiable before crediting it.</w:t>
      </w:r>
      <w:r>
        <w:t xml:space="preserve"> </w:t>
      </w:r>
      <w:r>
        <w:t xml:space="preserve">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5"/>
    <w:bookmarkStart w:id="46" w:name="Xe1acf8bcb72e6c414f95b924737381b6debc42f"/>
    <w:p>
      <w:pPr>
        <w:pStyle w:val="Heading3"/>
      </w:pPr>
      <w:r>
        <w:t xml:space="preserve">What an adopter can verify without contacting you</w:t>
      </w:r>
    </w:p>
    <w:p>
      <w:pPr>
        <w:pStyle w:val="FirstParagraph"/>
      </w:pPr>
      <w:r>
        <w:rPr>
          <w:b/>
          <w:bCs/>
        </w:rPr>
        <w:t xml:space="preserve">Build provenance.</w:t>
      </w:r>
      <w:r>
        <w:t xml:space="preserve"> </w:t>
      </w:r>
      <w:r>
        <w:t xml:space="preserve">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rPr>
          <w:b/>
          <w:bCs/>
        </w:rPr>
        <w:t xml:space="preserve">A published digest manifest is the lowest-tech verification path.</w:t>
      </w:r>
      <w:r>
        <w:t xml:space="preserve"> </w:t>
      </w:r>
      <w:r>
        <w:t xml:space="preserve">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rPr>
          <w:b/>
          <w:bCs/>
        </w:rPr>
        <w:t xml:space="preserve">Archive each release with its build inputs and its inventory.</w:t>
      </w:r>
      <w:r>
        <w:t xml:space="preserve"> </w:t>
      </w:r>
      <w:r>
        <w:t xml:space="preserve">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rPr>
          <w:b/>
          <w:bCs/>
        </w:rP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r>
        <w:t xml:space="preserve">section 17 becomes unevidenced simultaneously. The restore is the part that matters: once, dated,</w:t>
      </w:r>
      <w:r>
        <w:t xml:space="preserve"> </w:t>
      </w:r>
      <w:r>
        <w:t xml:space="preserve">restore one archived release and confirm the restored artifact still matches the digest you published</w:t>
      </w:r>
      <w:r>
        <w:t xml:space="preserve"> </w:t>
      </w:r>
      <w:r>
        <w:t xml:space="preserve">for it. A copy nobody has restored from is a claim rather than a backup, which is the same defect</w:t>
      </w:r>
      <w:r>
        <w:t xml:space="preserve"> </w:t>
      </w:r>
      <w:r>
        <w:t xml:space="preserve">pattern this document already names for a clean scanner run and for an 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 section 1, unchanged. So this reaches the evidence archive and not a deployment's data: do not</w:t>
      </w:r>
      <w:r>
        <w:t xml:space="preserve"> </w:t>
      </w:r>
      <w:r>
        <w:t xml:space="preserve">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3">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6"/>
    <w:bookmarkStart w:id="47"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47"/>
    <w:bookmarkEnd w:id="48"/>
    <w:bookmarkStart w:id="51"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rPr>
          <w:b/>
          <w:bCs/>
        </w:rPr>
        <w:t xml:space="preserve">State the honest objective.</w:t>
      </w:r>
      <w:r>
        <w:t xml:space="preserve"> </w:t>
      </w:r>
      <w:r>
        <w:t xml:space="preserve">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49"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1"/>
        </w:numPr>
      </w:pPr>
      <w:r>
        <w:t xml:space="preserve">file-integrity monitoring against a baseline</w:t>
      </w:r>
    </w:p>
    <w:p>
      <w:pPr>
        <w:pStyle w:val="Compact"/>
        <w:numPr>
          <w:ilvl w:val="0"/>
          <w:numId w:val="1011"/>
        </w:numPr>
      </w:pPr>
      <w:r>
        <w:t xml:space="preserve">immutable or read-only deployment with writable state confined to the data store</w:t>
      </w:r>
    </w:p>
    <w:p>
      <w:pPr>
        <w:pStyle w:val="Compact"/>
        <w:numPr>
          <w:ilvl w:val="0"/>
          <w:numId w:val="1011"/>
        </w:numPr>
      </w:pPr>
      <w:r>
        <w:t xml:space="preserve">least-privilege file ownership so the running account cannot rewrite its own code</w:t>
      </w:r>
    </w:p>
    <w:p>
      <w:pPr>
        <w:pStyle w:val="Compact"/>
        <w:numPr>
          <w:ilvl w:val="0"/>
          <w:numId w:val="1011"/>
        </w:numPr>
      </w:pPr>
      <w:r>
        <w:t xml:space="preserve">confinement under a mandatory access control system</w:t>
      </w:r>
    </w:p>
    <w:p>
      <w:pPr>
        <w:pStyle w:val="Compact"/>
        <w:numPr>
          <w:ilvl w:val="0"/>
          <w:numId w:val="1011"/>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49"/>
    <w:bookmarkStart w:id="50"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0"/>
    <w:bookmarkEnd w:id="51"/>
    <w:bookmarkStart w:id="53"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2"/>
        </w:numPr>
      </w:pPr>
      <w:r>
        <w:t xml:space="preserve">A defined private intake channel.</w:t>
      </w:r>
    </w:p>
    <w:p>
      <w:pPr>
        <w:pStyle w:val="Compact"/>
        <w:numPr>
          <w:ilvl w:val="0"/>
          <w:numId w:val="1012"/>
        </w:numPr>
      </w:pPr>
      <w:r>
        <w:t xml:space="preserve">Severity-banded remediation windows.</w:t>
      </w:r>
    </w:p>
    <w:p>
      <w:pPr>
        <w:pStyle w:val="Compact"/>
        <w:numPr>
          <w:ilvl w:val="0"/>
          <w:numId w:val="1012"/>
        </w:numPr>
      </w:pPr>
      <w:r>
        <w:t xml:space="preserve">A root-cause review for significant findings, feeding systemic causes back into the standard.</w:t>
      </w:r>
    </w:p>
    <w:p>
      <w:pPr>
        <w:pStyle w:val="Compact"/>
        <w:numPr>
          <w:ilvl w:val="0"/>
          <w:numId w:val="1012"/>
        </w:numPr>
      </w:pPr>
      <w:r>
        <w:t xml:space="preserve">Coordinated disclosure after a fix exists.</w:t>
      </w:r>
    </w:p>
    <w:p>
      <w:pPr>
        <w:pStyle w:val="Compact"/>
        <w:numPr>
          <w:ilvl w:val="0"/>
          <w:numId w:val="1012"/>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rPr>
          <w:b/>
          <w:bCs/>
        </w:rPr>
        <w:t xml:space="preserve">State when the clock starts, next to the window.</w:t>
      </w:r>
      <w:r>
        <w:t xml:space="preserve"> </w:t>
      </w:r>
      <w:r>
        <w:t xml:space="preserve">The two obvious choices give very different</w:t>
      </w:r>
      <w:r>
        <w:t xml:space="preserve"> </w:t>
      </w:r>
      <w:r>
        <w:t xml:space="preserve">numbers. Measuring from your own triage is right for your own defects. Measuring from the point an</w:t>
      </w:r>
      <w:r>
        <w:t xml:space="preserve"> </w:t>
      </w:r>
      <w:r>
        <w:t xml:space="preserve">upstream fixed version exists is right for a third-party advisory, because a clock started at triage</w:t>
      </w:r>
      <w:r>
        <w:t xml:space="preserve"> </w:t>
      </w:r>
      <w:r>
        <w:t xml:space="preserve">runs 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2"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 section 5 already names for baselines -- zero findings on a weak</w:t>
      </w:r>
      <w:r>
        <w:t xml:space="preserve"> </w:t>
      </w:r>
      <w:r>
        <w:t xml:space="preserve">ruleset proves nothing -- applied to the closing run instead of the opening one, and it is the part</w:t>
      </w:r>
      <w:r>
        <w:t xml:space="preserve"> </w:t>
      </w:r>
      <w:r>
        <w:t xml:space="preserve">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rPr>
          <w:b/>
          <w:bCs/>
        </w:rPr>
        <w:t xml:space="preserve">The fix merges and the check is never re-run</w:t>
      </w:r>
      <w:r>
        <w:t xml:space="preserve">, because the check that produced the finding only</w:t>
      </w:r>
      <w:r>
        <w:t xml:space="preserve"> </w:t>
      </w:r>
      <w:r>
        <w:t xml:space="preserve">fires on a schedule. For anything caught by a blocking check the retest is automatic by construction</w:t>
      </w:r>
      <w:r>
        <w:t xml:space="preserve"> </w:t>
      </w:r>
      <w:r>
        <w:t xml:space="preserve">and this rule costs nothing -- most of the value is simply in saying that this is what closure means.</w:t>
      </w:r>
      <w:r>
        <w:t xml:space="preserve"> </w:t>
      </w:r>
      <w:r>
        <w:t xml:space="preserve">The manual work is entirely in the scheduled and advisory jobs, which are precisely the ones nobody</w:t>
      </w:r>
      <w:r>
        <w:t xml:space="preserve"> </w:t>
      </w:r>
      <w:r>
        <w:t xml:space="preserve">re-runs on purpose.</w:t>
      </w:r>
    </w:p>
    <w:p>
      <w:pPr>
        <w:pStyle w:val="BodyText"/>
      </w:pPr>
      <w:r>
        <w:rPr>
          <w:b/>
          <w:bCs/>
        </w:rPr>
        <w:t xml:space="preserve">The finding is closed by adding a suppression.</w:t>
      </w:r>
      <w:r>
        <w:t xml:space="preserve"> </w:t>
      </w:r>
      <w:r>
        <w:t xml:space="preserve">Under section 16 a suppressed rule class is a</w:t>
      </w:r>
      <w:r>
        <w:t xml:space="preserve"> </w:t>
      </w:r>
      <w:r>
        <w:t xml:space="preserve">control that has been turned off, so a suppression routes the finding into the suppression review and</w:t>
      </w:r>
      <w:r>
        <w:t xml:space="preserve"> </w:t>
      </w:r>
      <w:r>
        <w:t xml:space="preserve">never into the closed column. Without that clause stated outright, this rule makes the closure count</w:t>
      </w:r>
      <w:r>
        <w:t xml:space="preserve"> </w:t>
      </w:r>
      <w:r>
        <w:t xml:space="preserve">look better while making the posture worse -- which is the exact species of badge the anti-metrics</w:t>
      </w:r>
      <w:r>
        <w:t xml:space="preserve"> </w:t>
      </w:r>
      <w:r>
        <w:t xml:space="preserve">table in section 5 exists to catch.</w:t>
      </w:r>
    </w:p>
    <w:p>
      <w:pPr>
        <w:pStyle w:val="BodyText"/>
      </w:pPr>
      <w:r>
        <w:t xml:space="preserve">Every finding therefore ends in exactly one of two places: closed by retest, or held under a dated</w:t>
      </w:r>
      <w:r>
        <w:t xml:space="preserve"> </w:t>
      </w:r>
      <w:r>
        <w:t xml:space="preserve">signed acceptance in section 13. A finding in neither is an open item wearing the costume of a closed</w:t>
      </w:r>
      <w:r>
        <w:t xml:space="preserve"> </w:t>
      </w:r>
      <w:r>
        <w:t xml:space="preserve">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r>
        <w:rPr>
          <w:i/>
          <w:iCs/>
        </w:rPr>
        <w:t xml:space="preserve">fire the failure class at the gate before crediting</w:t>
      </w:r>
      <w:r>
        <w:rPr>
          <w:i/>
          <w:iCs/>
        </w:rPr>
        <w:t xml:space="preserve"> </w:t>
      </w:r>
      <w:r>
        <w:rPr>
          <w:i/>
          <w:iCs/>
        </w:rPr>
        <w:t xml:space="preserve">its green</w:t>
      </w:r>
      <w:r>
        <w:t xml:space="preserve"> </w:t>
      </w:r>
      <w:r>
        <w:t xml:space="preserve">from section 5, applied per finding rather than per control; that section states the</w:t>
      </w:r>
      <w:r>
        <w:t xml:space="preserve"> </w:t>
      </w:r>
      <w:r>
        <w:t xml:space="preserve">relationship between the two and it is not restated here.</w:t>
      </w:r>
    </w:p>
    <w:p>
      <w:pPr>
        <w:pStyle w:val="BodyText"/>
      </w:pPr>
      <w:r>
        <w:rPr>
          <w:b/>
          <w:bCs/>
        </w:rP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p>
      <w:r>
        <w:pict>
          <v:rect style="width:0;height:1.5pt" o:hralign="center" o:hrstd="t" o:hr="t"/>
        </w:pict>
      </w:r>
    </w:p>
    <w:bookmarkEnd w:id="52"/>
    <w:bookmarkEnd w:id="53"/>
    <w:bookmarkStart w:id="54"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4"/>
    <w:bookmarkStart w:id="55"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and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rPr>
          <w:b/>
          <w:bCs/>
        </w:rPr>
        <w:t xml:space="preserve">Run a recurring pass on a stated cadence.</w:t>
      </w:r>
      <w:r>
        <w:t xml:space="preserve"> </w:t>
      </w:r>
      <w:r>
        <w:rPr>
          <w:b/>
          <w:bCs/>
        </w:rPr>
        <w:t xml:space="preserve">[derived: 800-53 CA-7b]</w:t>
      </w:r>
      <w:r>
        <w:t xml:space="preserve"> </w:t>
      </w:r>
      <w:r>
        <w:t xml:space="preserve">It does exactly four things,</w:t>
      </w:r>
      <w:r>
        <w:t xml:space="preserve"> </w:t>
      </w:r>
      <w:r>
        <w:t xml:space="preserve">and the count is a cap of this document's own rather than anything the catalog asks for:</w:t>
      </w:r>
    </w:p>
    <w:p>
      <w:pPr>
        <w:pStyle w:val="Compact"/>
        <w:numPr>
          <w:ilvl w:val="0"/>
          <w:numId w:val="1013"/>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3"/>
        </w:numPr>
      </w:pPr>
      <w:r>
        <w:t xml:space="preserve">Re-confirm from the blocking-job list, not from a badge, that every check in the unwaivable set</w:t>
      </w:r>
      <w:r>
        <w:t xml:space="preserve"> </w:t>
      </w:r>
      <w:r>
        <w:t xml:space="preserve">still blocks.</w:t>
      </w:r>
    </w:p>
    <w:p>
      <w:pPr>
        <w:pStyle w:val="Compact"/>
        <w:numPr>
          <w:ilvl w:val="0"/>
          <w:numId w:val="1013"/>
        </w:numPr>
      </w:pPr>
      <w:r>
        <w:t xml:space="preserve">Confirm the scanner suppression list has not grown unreviewed.</w:t>
      </w:r>
    </w:p>
    <w:p>
      <w:pPr>
        <w:pStyle w:val="Compact"/>
        <w:numPr>
          <w:ilvl w:val="0"/>
          <w:numId w:val="1013"/>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rPr>
          <w:b/>
          <w:bCs/>
        </w:rPr>
        <w:t xml:space="preserve">Hold it to four.</w:t>
      </w:r>
      <w:r>
        <w:t xml:space="preserve"> </w:t>
      </w:r>
      <w:r>
        <w:t xml:space="preserve">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 section 10 -- are their own schedules against their own artifacts, and folding them</w:t>
      </w:r>
      <w:r>
        <w:t xml:space="preserve"> </w:t>
      </w:r>
      <w:r>
        <w:t xml:space="preserve">in here is the growth this rule exists to forbid.</w:t>
      </w:r>
    </w:p>
    <w:p>
      <w:pPr>
        <w:pStyle w:val="BodyText"/>
      </w:pPr>
      <w:r>
        <w:rPr>
          <w:b/>
          <w:bCs/>
        </w:rPr>
        <w:t xml:space="preserve">Prefer an event trigger to the calendar wherever an event exists.</w:t>
      </w:r>
      <w:r>
        <w:t xml:space="preserve"> </w:t>
      </w:r>
      <w:r>
        <w:t xml:space="preserve">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 section 1 is the clearest case, which is</w:t>
      </w:r>
      <w:r>
        <w:t xml:space="preserve"> </w:t>
      </w:r>
      <w:r>
        <w:t xml:space="preserve">why it is event-triggered rather than a fifth item here: it is amended when a change adds a data</w:t>
      </w:r>
      <w:r>
        <w:t xml:space="preserve"> </w:t>
      </w:r>
      <w:r>
        <w:t xml:space="preserve">class, gives an existing class a new resting place, or adds a boundary. Section 16's gate carries the</w:t>
      </w:r>
      <w:r>
        <w:t xml:space="preserve"> </w:t>
      </w:r>
      <w:r>
        <w:t xml:space="preserve">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 section 16 -- the only new gate row this material introduces -- and it is a row</w:t>
      </w:r>
      <w:r>
        <w:t xml:space="preserve"> </w:t>
      </w:r>
      <w:r>
        <w:t xml:space="preserve">answerable from a diff rather than from a judgment.</w:t>
      </w:r>
    </w:p>
    <w:p>
      <w:r>
        <w:pict>
          <v:rect style="width:0;height:1.5pt" o:hralign="center" o:hrstd="t" o:hr="t"/>
        </w:pict>
      </w:r>
    </w:p>
    <w:bookmarkEnd w:id="55"/>
    <w:bookmarkStart w:id="58"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 and section 2 describes it. It is weaker than an external engagement, not out of reach without</w:t>
      </w:r>
      <w:r>
        <w:t xml:space="preserve"> </w:t>
      </w:r>
      <w:r>
        <w:t xml:space="preserve">one, and both halves of that go in together.</w:t>
      </w:r>
    </w:p>
    <w:bookmarkStart w:id="57" w:name="X8b98e4f88d127ae6f6acda887bb5aa503179c3d"/>
    <w:p>
      <w:pPr>
        <w:pStyle w:val="Heading3"/>
      </w:pPr>
      <w:r>
        <w:t xml:space="preserve">Write the engagement down before it starts</w:t>
      </w:r>
    </w:p>
    <w:p>
      <w:pPr>
        <w:pStyle w:val="FirstParagraph"/>
      </w:pPr>
      <w:r>
        <w:rPr>
          <w:b/>
          <w:bCs/>
        </w:rP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rPr>
          <w:b/>
          <w:bCs/>
        </w:rP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 is the objective and what is explicitly</w:t>
      </w:r>
      <w:r>
        <w:t xml:space="preserve"> </w:t>
      </w:r>
      <w:r>
        <w:t xml:space="preserve">out of scope; the environment and the authorized test site; the artifacts you hand over up front --</w:t>
      </w:r>
      <w:r>
        <w:t xml:space="preserve"> </w:t>
      </w:r>
      <w:r>
        <w:t xml:space="preserve">threat models, architecture, previous assessment results, the deviations register; named points of</w:t>
      </w:r>
      <w:r>
        <w:t xml:space="preserve"> </w:t>
      </w:r>
      <w:r>
        <w:t xml:space="preserve">contact on both sides, including the incident-response contact; permitted testing hours; the risks and</w:t>
      </w:r>
      <w:r>
        <w:t xml:space="preserve"> </w:t>
      </w:r>
      <w:r>
        <w:t xml:space="preserve">their agreed mitigations; what data the tester may encounter and how it must be handled and destroyed;</w:t>
      </w:r>
      <w:r>
        <w:t xml:space="preserve"> </w:t>
      </w:r>
      <w:r>
        <w:t xml:space="preserve">and how findings are delivered and disclosed.</w:t>
      </w:r>
    </w:p>
    <w:p>
      <w:pPr>
        <w:pStyle w:val="BodyText"/>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r>
        <w:t xml:space="preserve">Section 1's data-class table is what you hand 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 section 2, and it cannot be closed under the retest rule in section 12,</w:t>
      </w:r>
      <w:r>
        <w:t xml:space="preserve"> </w:t>
      </w:r>
      <w:r>
        <w:t xml:space="preserve">because there is no agreed original run for a confirming run to mirror. Independence is the other</w:t>
      </w:r>
      <w:r>
        <w:t xml:space="preserve"> </w:t>
      </w:r>
      <w:r>
        <w:t xml:space="preserve">half: an engagement run by a party with no stake in the result is what distinguishes this from the</w:t>
      </w:r>
      <w:r>
        <w:t xml:space="preserve"> </w:t>
      </w:r>
      <w:r>
        <w:t xml:space="preserve">self-assessment section 17 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 and</w:t>
      </w:r>
      <w:r>
        <w:t xml:space="preserve"> </w:t>
      </w:r>
      <w:r>
        <w:t xml:space="preserve">section 13 requires holding the unfunded gap under a dated signed acceptance, where an acceptance</w:t>
      </w:r>
      <w:r>
        <w:t xml:space="preserve"> </w:t>
      </w:r>
      <w:r>
        <w:t xml:space="preserve">naming what would have been in scope is a far stronger record than one saying testing was not</w:t>
      </w:r>
      <w:r>
        <w:t xml:space="preserve"> </w:t>
      </w:r>
      <w:r>
        <w:t xml:space="preserve">performed. It adds no row to the release gate; it makes the row 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rPr>
          <w:b/>
          <w:bCs/>
        </w:rPr>
        <w:t xml:space="preserve">Do not gate somebody else's deployment on your engagement.</w:t>
      </w:r>
      <w:r>
        <w:t xml:space="preserve"> </w:t>
      </w:r>
      <w:r>
        <w:t xml:space="preserve">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56">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4"/>
        </w:numPr>
      </w:pPr>
      <w:r>
        <w:t xml:space="preserve">verdict vocabulary</w:t>
      </w:r>
    </w:p>
    <w:p>
      <w:pPr>
        <w:pStyle w:val="Compact"/>
        <w:numPr>
          <w:ilvl w:val="0"/>
          <w:numId w:val="1014"/>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4"/>
        </w:numPr>
      </w:pPr>
      <w:r>
        <w:t xml:space="preserve">evidence anchors a machine can re-check</w:t>
      </w:r>
    </w:p>
    <w:p>
      <w:pPr>
        <w:pStyle w:val="Compact"/>
        <w:numPr>
          <w:ilvl w:val="0"/>
          <w:numId w:val="1014"/>
        </w:numPr>
      </w:pPr>
      <w:r>
        <w:t xml:space="preserve">pinning the standard's corpus</w:t>
      </w:r>
    </w:p>
    <w:p>
      <w:pPr>
        <w:pStyle w:val="Compact"/>
        <w:numPr>
          <w:ilvl w:val="0"/>
          <w:numId w:val="1014"/>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7"/>
    <w:bookmarkEnd w:id="58"/>
    <w:bookmarkStart w:id="60"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5"/>
        </w:numPr>
      </w:pPr>
      <w:r>
        <w:t xml:space="preserve">Automated blocking checks passing on the exact commit being released.</w:t>
      </w:r>
    </w:p>
    <w:p>
      <w:pPr>
        <w:pStyle w:val="Compact"/>
        <w:numPr>
          <w:ilvl w:val="0"/>
          <w:numId w:val="1015"/>
        </w:numPr>
      </w:pPr>
      <w:r>
        <w:t xml:space="preserve">No unresolved high or critical findings.</w:t>
      </w:r>
    </w:p>
    <w:p>
      <w:pPr>
        <w:pStyle w:val="Compact"/>
        <w:numPr>
          <w:ilvl w:val="0"/>
          <w:numId w:val="1015"/>
        </w:numPr>
      </w:pPr>
      <w:r>
        <w:t xml:space="preserve">Current independent-review status, or a signed risk acceptance standing in for it.</w:t>
      </w:r>
    </w:p>
    <w:p>
      <w:pPr>
        <w:pStyle w:val="Compact"/>
        <w:numPr>
          <w:ilvl w:val="0"/>
          <w:numId w:val="1015"/>
        </w:numPr>
      </w:pPr>
      <w:r>
        <w:t xml:space="preserve">Updated evidence.</w:t>
      </w:r>
    </w:p>
    <w:p>
      <w:pPr>
        <w:pStyle w:val="Compact"/>
        <w:numPr>
          <w:ilvl w:val="0"/>
          <w:numId w:val="1015"/>
        </w:numPr>
      </w:pPr>
      <w:r>
        <w:t xml:space="preserve">A signed artifact with its component inventory and digest manifest attached to the tag.</w:t>
      </w:r>
    </w:p>
    <w:p>
      <w:pPr>
        <w:pStyle w:val="Compact"/>
        <w:numPr>
          <w:ilvl w:val="0"/>
          <w:numId w:val="1015"/>
        </w:numPr>
      </w:pPr>
      <w:r>
        <w:t xml:space="preserve">Section 1's data-class table current as of the last change that added a class, gave a class a new</w:t>
      </w:r>
      <w:r>
        <w:t xml:space="preserve"> </w:t>
      </w:r>
      <w:r>
        <w:t xml:space="preserve">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3">
        <w:r>
          <w:rPr>
            <w:rStyle w:val="Hyperlink"/>
          </w:rPr>
          <w:t xml:space="preserve">CI and standards</w:t>
        </w:r>
      </w:hyperlink>
      <w:r>
        <w:t xml:space="preserve">.</w:t>
      </w:r>
    </w:p>
    <w:bookmarkStart w:id="59"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 section 12 carries that rule</w:t>
      </w:r>
      <w:r>
        <w:t xml:space="preserve"> </w:t>
      </w:r>
      <w:r>
        <w:t xml:space="preserve">in full. Mark which nominally-security jobs are advisory and do not count those as coverage. Only then</w:t>
      </w:r>
      <w:r>
        <w:t xml:space="preserve"> </w:t>
      </w:r>
      <w:r>
        <w:t xml:space="preserve">spend line-by-line reading on what the automated controls cannot cover.</w:t>
      </w:r>
    </w:p>
    <w:p>
      <w:r>
        <w:pict>
          <v:rect style="width:0;height:1.5pt" o:hralign="center" o:hrstd="t" o:hr="t"/>
        </w:pict>
      </w:r>
    </w:p>
    <w:bookmarkEnd w:id="59"/>
    <w:bookmarkEnd w:id="60"/>
    <w:bookmarkStart w:id="61"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w:t>
      </w:r>
      <w:r>
        <w:t xml:space="preserve"> </w:t>
      </w:r>
      <w:r>
        <w:rPr>
          <w:b/>
          <w:bCs/>
        </w:rPr>
        <w:t xml:space="preserve">this document and your own process</w:t>
      </w:r>
      <w:r>
        <w:t xml:space="preserve">.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rPr>
          <w:b/>
          <w:bCs/>
        </w:rPr>
        <w:t xml:space="preserve">The register does not extend to a publication you cited.</w:t>
      </w:r>
      <w:r>
        <w:t xml:space="preserve"> </w:t>
      </w:r>
      <w:r>
        <w:t xml:space="preserve">"Aligned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near the top of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3">
        <w:r>
          <w:rPr>
            <w:rStyle w:val="Hyperlink"/>
          </w:rPr>
          <w:t xml:space="preserve">CI and standards</w:t>
        </w:r>
      </w:hyperlink>
      <w:r>
        <w:t xml:space="preserve">. Four things are specific to a security claim:</w:t>
      </w:r>
    </w:p>
    <w:p>
      <w:pPr>
        <w:pStyle w:val="Compact"/>
        <w:numPr>
          <w:ilvl w:val="0"/>
          <w:numId w:val="1016"/>
        </w:numPr>
      </w:pPr>
      <w:r>
        <w:rPr>
          <w:b/>
          <w:bCs/>
        </w:rPr>
        <w:t xml:space="preserve">State the attestation posture positively, with its scope named.</w:t>
      </w:r>
      <w:r>
        <w:t xml:space="preserve"> </w:t>
      </w:r>
      <w:r>
        <w:t xml:space="preserve">"This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6"/>
        </w:numPr>
      </w:pPr>
      <w:r>
        <w:rPr>
          <w:b/>
          <w:bCs/>
        </w:rPr>
        <w:t xml:space="preserve">Say what the standard does not confer, structurally and near the top.</w:t>
      </w:r>
      <w:r>
        <w:t xml:space="preserve"> </w:t>
      </w:r>
      <w:r>
        <w:t xml:space="preserve">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6"/>
        </w:numPr>
      </w:pPr>
      <w:r>
        <w:rPr>
          <w:b/>
          <w:bCs/>
        </w:rPr>
        <w:t xml:space="preserve">Where you borrow discipline from a regime you are not subject to, say so.</w:t>
      </w:r>
      <w:r>
        <w:t xml:space="preserve"> </w:t>
      </w:r>
      <w:r>
        <w:t xml:space="preserve">Adopted by analogy and</w:t>
      </w:r>
      <w:r>
        <w:t xml:space="preserve"> </w:t>
      </w:r>
      <w:r>
        <w:t xml:space="preserve">voluntarily; producing the artifacts confers nothing.</w:t>
      </w:r>
    </w:p>
    <w:p>
      <w:pPr>
        <w:pStyle w:val="Compact"/>
        <w:numPr>
          <w:ilvl w:val="0"/>
          <w:numId w:val="1016"/>
        </w:numPr>
      </w:pPr>
      <w:r>
        <w:rPr>
          <w:b/>
          <w:bCs/>
        </w:rPr>
        <w:t xml:space="preserve">Never restate another document's assurance-level target, count, or score.</w:t>
      </w:r>
      <w:r>
        <w:t xml:space="preserve"> </w:t>
      </w:r>
      <w:r>
        <w:t xml:space="preserve">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rPr>
          <w:b/>
          <w:bCs/>
        </w:rPr>
        <w:t xml:space="preserve">Cite a proposed requirement as proposed.</w:t>
      </w:r>
      <w:r>
        <w:t xml:space="preserve"> </w:t>
      </w:r>
      <w:r>
        <w:t xml:space="preserve">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1"/>
    <w:bookmarkStart w:id="62"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rPr>
          <w:b/>
          <w:bCs/>
        </w:rPr>
        <w:t xml:space="preserve">Change freely:</w:t>
      </w:r>
    </w:p>
    <w:p>
      <w:pPr>
        <w:pStyle w:val="Compact"/>
        <w:numPr>
          <w:ilvl w:val="0"/>
          <w:numId w:val="1017"/>
        </w:numPr>
      </w:pPr>
      <w:r>
        <w:rPr>
          <w:b/>
          <w:bCs/>
        </w:rPr>
        <w:t xml:space="preserve">The section set.</w:t>
      </w:r>
      <w:r>
        <w:t xml:space="preserve"> </w:t>
      </w:r>
      <w:r>
        <w:t xml:space="preserve">Drop what you do not have. A project with no network interfaces does not need</w:t>
      </w:r>
      <w:r>
        <w:t xml:space="preserve"> </w:t>
      </w:r>
      <w:r>
        <w:t xml:space="preserve">section 8, and saying so beats leaving an empty heading that reads as an unowned control.</w:t>
      </w:r>
    </w:p>
    <w:p>
      <w:pPr>
        <w:pStyle w:val="Compact"/>
        <w:numPr>
          <w:ilvl w:val="0"/>
          <w:numId w:val="1017"/>
        </w:numPr>
      </w:pPr>
      <w:r>
        <w:rPr>
          <w:b/>
          <w:bCs/>
        </w:rPr>
        <w:t xml:space="preserve">The authentication hierarchy.</w:t>
      </w:r>
      <w:r>
        <w:t xml:space="preserve"> </w:t>
      </w:r>
      <w:r>
        <w:t xml:space="preserve">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17"/>
        </w:numPr>
      </w:pPr>
      <w:r>
        <w:rPr>
          <w:b/>
          <w:bCs/>
        </w:rPr>
        <w:t xml:space="preserve">The remediation windows.</w:t>
      </w:r>
      <w:r>
        <w:t xml:space="preserve"> </w:t>
      </w:r>
      <w:r>
        <w:t xml:space="preserve">There is no validated number. Set yours from your own capacity, record</w:t>
      </w:r>
      <w:r>
        <w:t xml:space="preserve"> </w:t>
      </w:r>
      <w:r>
        <w:t xml:space="preserve">them where a reporter can read them, and label them project-set.</w:t>
      </w:r>
    </w:p>
    <w:p>
      <w:pPr>
        <w:pStyle w:val="Compact"/>
        <w:numPr>
          <w:ilvl w:val="0"/>
          <w:numId w:val="1017"/>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17"/>
        </w:numPr>
      </w:pPr>
      <w:r>
        <w:rPr>
          <w:b/>
          <w:bCs/>
        </w:rPr>
        <w:t xml:space="preserve">The adoption order.</w:t>
      </w:r>
      <w:r>
        <w:t xml:space="preserve"> </w:t>
      </w:r>
      <w:r>
        <w:t xml:space="preserve">Sections 1, 5 and 13 are the cheapest and the highest-leverage; after those,</w:t>
      </w:r>
      <w:r>
        <w:t xml:space="preserve"> </w:t>
      </w:r>
      <w:r>
        <w:t xml:space="preserve">take whatever your riskiest surface demands.</w:t>
      </w:r>
    </w:p>
    <w:p>
      <w:pPr>
        <w:pStyle w:val="FirstParagraph"/>
      </w:pPr>
      <w:r>
        <w:rPr>
          <w:b/>
          <w:bCs/>
        </w:rPr>
        <w:t xml:space="preserve">Do not weaken:</w:t>
      </w:r>
    </w:p>
    <w:p>
      <w:pPr>
        <w:pStyle w:val="Compact"/>
        <w:numPr>
          <w:ilvl w:val="0"/>
          <w:numId w:val="1018"/>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8"/>
        </w:numPr>
      </w:pPr>
      <w:r>
        <w:rPr>
          <w:b/>
          <w:bCs/>
        </w:rPr>
        <w:t xml:space="preserve">The single definition of restricted data.</w:t>
      </w:r>
      <w:r>
        <w:t xml:space="preserve"> </w:t>
      </w:r>
      <w:r>
        <w:t xml:space="preserve">One table in section 1,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18"/>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18"/>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18"/>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8"/>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3"/>
    <w:bookmarkStart w:id="64"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arriving at the top, has two ways in.</w:t>
      </w:r>
      <w:r>
        <w:t xml:space="preserve"> </w:t>
      </w:r>
      <w:r>
        <w:t xml:space="preserve">For what</w:t>
      </w:r>
      <w:r>
        <w:t xml:space="preserve"> </w:t>
      </w:r>
      <w:r>
        <w:rPr>
          <w:b/>
          <w:bCs/>
        </w:rPr>
        <w:t xml:space="preserve">was</w:t>
      </w:r>
      <w:r>
        <w:t xml:space="preserve"> </w:t>
      </w:r>
      <w:r>
        <w:t xml:space="preserve">borrowed, the marks in the body are the index: each names the control it came from,</w:t>
      </w:r>
      <w:r>
        <w:t xml:space="preserve"> </w:t>
      </w:r>
      <w:r>
        <w:t xml:space="preserve">so searching this page for a control identifier lands on the rule that restates it, inside the</w:t>
      </w:r>
      <w:r>
        <w:t xml:space="preserve"> </w:t>
      </w:r>
      <w:r>
        <w:t xml:space="preserve">section that argues for it. The sources table below records which publication contributes what.</w:t>
      </w:r>
    </w:p>
    <w:p>
      <w:pPr>
        <w:pStyle w:val="BodyText"/>
      </w:pPr>
      <w:r>
        <w:t xml:space="preserve">This table is the other half, and it is the half nobody writes down: the areas a control catalog</w:t>
      </w:r>
      <w:r>
        <w:t xml:space="preserve"> </w:t>
      </w:r>
      <w:r>
        <w:t xml:space="preserve">covers that this document deliberately takes nothing from, and why. It exists so that an absence</w:t>
      </w:r>
      <w:r>
        <w:t xml:space="preserve"> </w:t>
      </w:r>
      <w:r>
        <w:t xml:space="preserve">reads as a decision rather than as an oversight, and so a reader holding a catalog can stop looking.</w:t>
      </w:r>
    </w:p>
    <w:p>
      <w:pPr>
        <w:pStyle w:val="BodyText"/>
      </w:pPr>
      <w:r>
        <w:rPr>
          <w:b/>
          <w:bCs/>
        </w:rPr>
        <w:t xml:space="preserve">It is not a coverage map, and there is nothing here to score.</w:t>
      </w:r>
      <w:r>
        <w:t xml:space="preserve"> </w:t>
      </w:r>
      <w:r>
        <w:t xml:space="preserve">A row means this document has</w:t>
      </w:r>
      <w:r>
        <w:t xml:space="preserve"> </w:t>
      </w:r>
      <w:r>
        <w:t xml:space="preserve">declined to say something about that area. Nothing here claims the document satisfies a control, that</w:t>
      </w:r>
      <w:r>
        <w:t xml:space="preserve"> </w:t>
      </w:r>
      <w:r>
        <w:t xml:space="preserve">a product built under it satisfies one, or that either could be assessed against the catalog an</w:t>
      </w:r>
      <w:r>
        <w:t xml:space="preserve"> </w:t>
      </w:r>
      <w:r>
        <w:t xml:space="preserve">identifier came from. Section 17 carries the claim register, and</w:t>
      </w:r>
      <w:r>
        <w:t xml:space="preserve"> </w:t>
      </w:r>
      <w:r>
        <w:rPr>
          <w:i/>
          <w:iCs/>
        </w:rPr>
        <w:t xml:space="preserve">Naming these sources is not a</w:t>
      </w:r>
      <w:r>
        <w:rPr>
          <w:i/>
          <w:iCs/>
        </w:rPr>
        <w:t xml:space="preserve"> </w:t>
      </w:r>
      <w:r>
        <w:rPr>
          <w:i/>
          <w:iCs/>
        </w:rPr>
        <w:t xml:space="preserve">conformance claim</w:t>
      </w:r>
      <w:r>
        <w:t xml:space="preserve"> </w:t>
      </w:r>
      <w:r>
        <w:t xml:space="preserve">near the top carries the reasoning; neither is repeated here.</w:t>
      </w:r>
    </w:p>
    <w:p>
      <w:pPr>
        <w:pStyle w:val="BodyText"/>
      </w:pPr>
      <w:r>
        <w:t xml:space="preserve">There is deliberately</w:t>
      </w:r>
      <w:r>
        <w:t xml:space="preserve"> </w:t>
      </w:r>
      <w:r>
        <w:rPr>
          <w:b/>
          <w:bCs/>
        </w:rPr>
        <w:t xml:space="preserve">no table mapping this document's rules onto a catalog's controls</w:t>
      </w:r>
      <w:r>
        <w:t xml:space="preserve">. A reader</w:t>
      </w:r>
      <w:r>
        <w:t xml:space="preserve"> </w:t>
      </w:r>
      <w:r>
        <w:t xml:space="preserve">would read one as a scorecard whatever it said about itself, control identifiers being unusually</w:t>
      </w:r>
      <w:r>
        <w:t xml:space="preserve"> </w:t>
      </w:r>
      <w:r>
        <w:t xml:space="preserve">quotable; and a count of externally-catalogued identifiers is already in section 5's anti-metrics</w:t>
      </w:r>
      <w:r>
        <w:t xml:space="preserve"> </w:t>
      </w:r>
      <w:r>
        <w:t xml:space="preserve">table as a badge that measures nothing. Most of what such a table would have held is already stated</w:t>
      </w:r>
      <w:r>
        <w:t xml:space="preserve"> </w:t>
      </w:r>
      <w:r>
        <w:t xml:space="preserve">once, in the body, at the rule.</w:t>
      </w:r>
    </w:p>
    <w:p>
      <w:pPr>
        <w:pStyle w:val="BodyText"/>
      </w:pPr>
      <w:r>
        <w:t xml:space="preserve">Two notes on reading what is here. The 800-53 rows name controls as they stand in Release 5.2.0, per</w:t>
      </w:r>
      <w:r>
        <w:t xml:space="preserve"> </w:t>
      </w:r>
      <w:r>
        <w:rPr>
          <w:i/>
          <w:iCs/>
        </w:rPr>
        <w:t xml:space="preserve">Name the release, not just the revision</w:t>
      </w:r>
      <w:r>
        <w:t xml:space="preserve"> </w:t>
      </w:r>
      <w:r>
        <w:t xml:space="preserve">above. And an absence from this table is not a claim in</w:t>
      </w:r>
      <w:r>
        <w:t xml:space="preserve"> </w:t>
      </w:r>
      <w:r>
        <w:t xml:space="preserve">either direction: the area may have been borrowed from, in which case a mark in the body says so, or</w:t>
      </w:r>
      <w:r>
        <w:t xml:space="preserve"> </w:t>
      </w:r>
      <w:r>
        <w:t xml:space="preserve">it may simply be one nobody has 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64"/>
    <w:bookmarkStart w:id="65" w:name="sources"/>
    <w:p>
      <w:pPr>
        <w:pStyle w:val="Heading2"/>
      </w:pPr>
      <w:r>
        <w:t xml:space="preserve">Sources</w:t>
      </w:r>
    </w:p>
    <w:p>
      <w:pPr>
        <w:pStyle w:val="FirstParagraph"/>
      </w:pPr>
      <w:r>
        <w:t xml:space="preserve">The record of record for the four publications named at the top.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 near the top, where the two</w:t>
      </w:r>
      <w:r>
        <w:t xml:space="preserve"> </w:t>
      </w:r>
      <w:r>
        <w:t xml:space="preserve">disagreeing dates</w:t>
      </w:r>
      <w:r>
        <w:t xml:space="preserve"> </w:t>
      </w:r>
      <w:r>
        <w:rPr>
          <w:i/>
          <w:iCs/>
        </w:rPr>
        <w:t xml:space="preserve">are</w:t>
      </w:r>
      <w:r>
        <w:t xml:space="preserve"> </w:t>
      </w:r>
      <w:r>
        <w:t xml:space="preserve">the argument rather than a 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 section 17.</w:t>
      </w:r>
    </w:p>
    <w:p>
      <w:r>
        <w:pict>
          <v:rect style="width:0;height:1.5pt" o:hralign="center" o:hrstd="t" o:hr="t"/>
        </w:pict>
      </w:r>
    </w:p>
    <w:bookmarkEnd w:id="65"/>
    <w:bookmarkStart w:id="68" w:name="related"/>
    <w:p>
      <w:pPr>
        <w:pStyle w:val="Heading2"/>
      </w:pPr>
      <w:r>
        <w:t xml:space="preserve">Related</w:t>
      </w:r>
    </w:p>
    <w:p>
      <w:pPr>
        <w:pStyle w:val="Compact"/>
        <w:numPr>
          <w:ilvl w:val="0"/>
          <w:numId w:val="1019"/>
        </w:numPr>
      </w:pPr>
      <w:hyperlink r:id="rId23">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9"/>
        </w:numPr>
      </w:pPr>
      <w:hyperlink r:id="rId30">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9"/>
        </w:numPr>
      </w:pPr>
      <w:hyperlink r:id="rId56">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9"/>
        </w:numPr>
      </w:pPr>
      <w:hyperlink r:id="rId66">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9"/>
        </w:numPr>
      </w:pPr>
      <w:hyperlink r:id="rId67">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ASVS-ASSESSMENT.md" TargetMode="External" /><Relationship Type="http://schemas.openxmlformats.org/officeDocument/2006/relationships/hyperlink" Id="rId66" Target="../CASE-STUDY-drift-audit.md" TargetMode="External" /><Relationship Type="http://schemas.openxmlformats.org/officeDocument/2006/relationships/hyperlink" Id="rId23" Target="../CI-AND-STANDARDS.md" TargetMode="External" /><Relationship Type="http://schemas.openxmlformats.org/officeDocument/2006/relationships/hyperlink" Id="rId30" Target="../LEAK-GATE.md" TargetMode="External" /><Relationship Type="http://schemas.openxmlformats.org/officeDocument/2006/relationships/hyperlink" Id="rId67" Target="../TIPS-AND-TRICKS.md" TargetMode="External" /><Relationship Type="http://schemas.openxmlformats.org/officeDocument/2006/relationships/hyperlink" Id="rId26" Target="CODE-QUALITY.md#the-evidence-and-the-hedge-each-citation-must-carry"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6" Target="../ASVS-ASSESSMENT.md" TargetMode="External" /><Relationship Type="http://schemas.openxmlformats.org/officeDocument/2006/relationships/hyperlink" Id="rId66" Target="../CASE-STUDY-drift-audit.md" TargetMode="External" /><Relationship Type="http://schemas.openxmlformats.org/officeDocument/2006/relationships/hyperlink" Id="rId23" Target="../CI-AND-STANDARDS.md" TargetMode="External" /><Relationship Type="http://schemas.openxmlformats.org/officeDocument/2006/relationships/hyperlink" Id="rId30" Target="../LEAK-GATE.md" TargetMode="External" /><Relationship Type="http://schemas.openxmlformats.org/officeDocument/2006/relationships/hyperlink" Id="rId67" Target="../TIPS-AND-TRICKS.md" TargetMode="External" /><Relationship Type="http://schemas.openxmlformats.org/officeDocument/2006/relationships/hyperlink" Id="rId26" Target="CODE-QUALITY.md#the-evidence-and-the-hedge-each-citation-must-carry"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2026-08-06T10:30:01Z</dcterms:created>
  <dcterms:modified xsi:type="dcterms:W3CDTF">2026-08-06T10:30:01Z</dcterms:modified>
</cp:coreProperties>
</file>

<file path=docProps/custom.xml><?xml version="1.0" encoding="utf-8"?>
<Properties xmlns="http://schemas.openxmlformats.org/officeDocument/2006/custom-properties" xmlns:vt="http://schemas.openxmlformats.org/officeDocument/2006/docPropsVTypes"/>
</file>