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X5f00617d65279871bdf095e7499ae789fffb5af"/>
    <w:p>
      <w:pPr>
        <w:pStyle w:val="Heading1"/>
      </w:pPr>
      <w:r>
        <w:t xml:space="preserve">Which security standards actually apply to you?</w:t>
      </w:r>
    </w:p>
    <w:p>
      <w:pPr>
        <w:pStyle w:val="FirstParagraph"/>
      </w:pPr>
      <w:r>
        <w:rPr>
          <w:b/>
          <w:bCs/>
        </w:rPr>
        <w:t xml:space="preserve">The question a security executive has to answer before funding anything, and the one buried under</w:t>
      </w:r>
      <w:r>
        <w:rPr>
          <w:b/>
          <w:bCs/>
        </w:rPr>
        <w:t xml:space="preserve"> </w:t>
      </w:r>
      <w:r>
        <w:rPr>
          <w:b/>
          <w:bCs/>
        </w:rPr>
        <w:t xml:space="preserve">encyclopedias that explain what each standard says rather than whether it reaches you.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if-this-is-your-situation"/>
    <w:p>
      <w:pPr>
        <w:pStyle w:val="Heading2"/>
      </w:pPr>
      <w:r>
        <w:t xml:space="preserve">If this is your situation</w:t>
      </w:r>
    </w:p>
    <w:p>
      <w:pPr>
        <w:pStyle w:val="FirstParagraph"/>
      </w:pPr>
      <w:r>
        <w:t xml:space="preserve">At least twelve situations. Column three points into this page, not out of it. Matching no row here is</w:t>
      </w:r>
      <w:r>
        <w:t xml:space="preserve"> </w:t>
      </w:r>
      <w:r>
        <w:t xml:space="preserve">not evidence that nothing reaches you -- see</w:t>
      </w:r>
      <w:r>
        <w:t xml:space="preserve"> </w:t>
      </w:r>
      <w:hyperlink w:anchor="what-this-page-did-not-assess">
        <w:r>
          <w:rPr>
            <w:rStyle w:val="Hyperlink"/>
          </w:rPr>
          <w:t xml:space="preserve">What this page did not assess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situation</w:t>
            </w:r>
          </w:p>
        </w:tc>
        <w:tc>
          <w:tcPr/>
          <w:p>
            <w:pPr>
              <w:pStyle w:val="Compact"/>
            </w:pPr>
            <w:r>
              <w:t xml:space="preserve">What reaches you, and how it arrives</w:t>
            </w:r>
          </w:p>
        </w:tc>
        <w:tc>
          <w:tcPr/>
          <w:p>
            <w:pPr>
              <w:pStyle w:val="Compact"/>
            </w:pPr>
            <w:r>
              <w:t xml:space="preserve">Read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sell software, not a hosted service, to a US federal agency</w:t>
            </w:r>
          </w:p>
        </w:tc>
        <w:tc>
          <w:tcPr/>
          <w:p>
            <w:pPr>
              <w:pStyle w:val="Compact"/>
            </w:pPr>
            <w:r>
              <w:t xml:space="preserve">Since 2026-01-23 there is no government-wide attestation mandate. What reaches you is whatever an individual agency writes into a contract</w:t>
            </w:r>
          </w:p>
        </w:tc>
        <w:tc>
          <w:tcPr/>
          <w:p>
            <w:pPr>
              <w:pStyle w:val="Compact"/>
            </w:pPr>
            <w:hyperlink w:anchor="addressed-to-a-software-producer">
              <w:r>
                <w:rPr>
                  <w:rStyle w:val="Hyperlink"/>
                </w:rPr>
                <w:t xml:space="preserve">Producer items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sell a hosted service to a US federal agency</w:t>
            </w:r>
          </w:p>
        </w:tc>
        <w:tc>
          <w:tcPr/>
          <w:p>
            <w:pPr>
              <w:pStyle w:val="Compact"/>
            </w:pPr>
            <w:r>
              <w:t xml:space="preserve">A government program certification for the offering, as a condition of the sale. It arrives as a procurement rule</w:t>
            </w:r>
          </w:p>
        </w:tc>
        <w:tc>
          <w:tcPr/>
          <w:p>
            <w:pPr>
              <w:pStyle w:val="Compact"/>
            </w:pPr>
            <w:hyperlink w:anchor="certification-and-program-regimes">
              <w:r>
                <w:rPr>
                  <w:rStyle w:val="Hyperlink"/>
                </w:rPr>
                <w:t xml:space="preserve">Certification and program regimes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sell to a US state, local, tribal or education buyer</w:t>
            </w:r>
          </w:p>
        </w:tc>
        <w:tc>
          <w:tcPr/>
          <w:p>
            <w:pPr>
              <w:pStyle w:val="Compact"/>
            </w:pPr>
            <w:r>
              <w:t xml:space="preserve">A separate program with its own statuses and tiers, arriving as a procurement requirement that varies by jurisdiction</w:t>
            </w:r>
          </w:p>
        </w:tc>
        <w:tc>
          <w:tcPr/>
          <w:p>
            <w:pPr>
              <w:pStyle w:val="Compact"/>
            </w:pPr>
            <w:hyperlink w:anchor="certification-and-program-regimes">
              <w:r>
                <w:rPr>
                  <w:rStyle w:val="Hyperlink"/>
                </w:rPr>
                <w:t xml:space="preserve">Certification and program regimes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place a product with digital elements on the EU market</w:t>
            </w:r>
          </w:p>
        </w:tc>
        <w:tc>
          <w:tcPr/>
          <w:p>
            <w:pPr>
              <w:pStyle w:val="Compact"/>
            </w:pPr>
            <w:r>
              <w:t xml:space="preserve">A regulation that binds producers directly, with no customer asking -- the only such item mapped here. Its reporting obligations apply from 2026-09-11, ahead of the rest of it</w:t>
            </w:r>
          </w:p>
        </w:tc>
        <w:tc>
          <w:tcPr/>
          <w:p>
            <w:pPr>
              <w:pStyle w:val="Compact"/>
            </w:pPr>
            <w:hyperlink w:anchor="addressed-to-a-software-producer">
              <w:r>
                <w:rPr>
                  <w:rStyle w:val="Hyperlink"/>
                </w:rPr>
                <w:t xml:space="preserve">Producer items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prime contractor flowed a security requirement down to you</w:t>
            </w:r>
          </w:p>
        </w:tc>
        <w:tc>
          <w:tcPr/>
          <w:p>
            <w:pPr>
              <w:pStyle w:val="Compact"/>
            </w:pPr>
            <w:r>
              <w:t xml:space="preserve">A clause, not a publication. Ask which contract and which clause number, and whether a deviation modifies it</w:t>
            </w:r>
          </w:p>
        </w:tc>
        <w:tc>
          <w:tcPr/>
          <w:p>
            <w:pPr>
              <w:pStyle w:val="Compact"/>
            </w:pPr>
            <w:hyperlink w:anchor="how-these-actually-reach-you">
              <w:r>
                <w:rPr>
                  <w:rStyle w:val="Hyperlink"/>
                </w:rPr>
                <w:t xml:space="preserve">How these actually reach you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commercial customer requires a certificate or an audit report before signing</w:t>
            </w:r>
          </w:p>
        </w:tc>
        <w:tc>
          <w:tcPr/>
          <w:p>
            <w:pPr>
              <w:pStyle w:val="Compact"/>
            </w:pPr>
            <w:r>
              <w:t xml:space="preserve">An instrument that does exist, unlike most of this page: a scoped third-party certificate, or an examination report carrying an opinion. What it is worth turns on scope, accreditation, and which criteria were elected</w:t>
            </w:r>
          </w:p>
        </w:tc>
        <w:tc>
          <w:tcPr/>
          <w:p>
            <w:pPr>
              <w:pStyle w:val="Compact"/>
            </w:pPr>
            <w:hyperlink w:anchor="certification-and-program-regimes">
              <w:r>
                <w:rPr>
                  <w:rStyle w:val="Hyperlink"/>
                </w:rPr>
                <w:t xml:space="preserve">Certification and program regimes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customer questionnaire asks you for a certificate</w:t>
            </w:r>
          </w:p>
        </w:tc>
        <w:tc>
          <w:tcPr/>
          <w:p>
            <w:pPr>
              <w:pStyle w:val="Compact"/>
            </w:pPr>
            <w:r>
              <w:t xml:space="preserve">A questionnaire is not a regulator. Most items here issue no certificate, so name what does exist: a scoped certificate for something else, a report, a self-attestation, provenance, or named control correspondences</w:t>
            </w:r>
          </w:p>
        </w:tc>
        <w:tc>
          <w:tcPr/>
          <w:p>
            <w:pPr>
              <w:pStyle w:val="Compact"/>
            </w:pPr>
            <w:hyperlink w:anchor="cut-two-what-does-it-actually-issue">
              <w:r>
                <w:rPr>
                  <w:rStyle w:val="Hyperlink"/>
                </w:rPr>
                <w:t xml:space="preserve">What it actually issues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contract clause names a ranking, such as free of OWASP Top 10 issues</w:t>
            </w:r>
          </w:p>
        </w:tc>
        <w:tc>
          <w:tcPr/>
          <w:p>
            <w:pPr>
              <w:pStyle w:val="Compact"/>
            </w:pPr>
            <w:r>
              <w:t xml:space="preserve">A clause with no completion condition. Convert it into a requirement set while the clause is being agreed, not when the assessment is due</w:t>
            </w:r>
          </w:p>
        </w:tc>
        <w:tc>
          <w:tcPr/>
          <w:p>
            <w:pPr>
              <w:pStyle w:val="Compact"/>
            </w:pPr>
            <w:hyperlink w:anchor="rankings-and-awareness-lists">
              <w:r>
                <w:rPr>
                  <w:rStyle w:val="Hyperlink"/>
                </w:rPr>
                <w:t xml:space="preserve">Rankings and awareness lists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operate systems holding data covered by a sector regime</w:t>
            </w:r>
          </w:p>
        </w:tc>
        <w:tc>
          <w:tcPr/>
          <w:p>
            <w:pPr>
              <w:pStyle w:val="Compact"/>
            </w:pPr>
            <w:r>
              <w:t xml:space="preserve">A regulator's rule on the organization, not on a product. It reaches a supplier as contract text rather than as regulation</w:t>
            </w:r>
          </w:p>
        </w:tc>
        <w:tc>
          <w:tcPr/>
          <w:p>
            <w:pPr>
              <w:pStyle w:val="Compact"/>
            </w:pPr>
            <w:hyperlink w:anchor="sector-and-jurisdiction-regimes">
              <w:r>
                <w:rPr>
                  <w:rStyle w:val="Hyperlink"/>
                </w:rPr>
                <w:t xml:space="preserve">Sector and jurisdiction regimes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are in the payment card chain</w:t>
            </w:r>
          </w:p>
        </w:tc>
        <w:tc>
          <w:tcPr/>
          <w:p>
            <w:pPr>
              <w:pStyle w:val="Compact"/>
            </w:pPr>
            <w:r>
              <w:t xml:space="preserve">An agreement with an acquirer or a brand. The body that writes the standard is not the body that sets your validation requirement</w:t>
            </w:r>
          </w:p>
        </w:tc>
        <w:tc>
          <w:tcPr/>
          <w:p>
            <w:pPr>
              <w:pStyle w:val="Compact"/>
            </w:pPr>
            <w:hyperlink w:anchor="certification-and-program-regimes">
              <w:r>
                <w:rPr>
                  <w:rStyle w:val="Hyperlink"/>
                </w:rPr>
                <w:t xml:space="preserve">Certification and program regimes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supply software to an organization in scope of a regime, and you are not</w:t>
            </w:r>
          </w:p>
        </w:tc>
        <w:tc>
          <w:tcPr/>
          <w:p>
            <w:pPr>
              <w:pStyle w:val="Compact"/>
            </w:pPr>
            <w:r>
              <w:t xml:space="preserve">A supplier-risk questionnaire generated by their obligation. The contract text governs what you owe, not the underlying regime</w:t>
            </w:r>
          </w:p>
        </w:tc>
        <w:tc>
          <w:tcPr/>
          <w:p>
            <w:pPr>
              <w:pStyle w:val="Compact"/>
            </w:pPr>
            <w:hyperlink w:anchor="how-these-actually-reach-you">
              <w:r>
                <w:rPr>
                  <w:rStyle w:val="Hyperlink"/>
                </w:rPr>
                <w:t xml:space="preserve">How these actually reach you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developers build with AI coding assistants</w:t>
            </w:r>
          </w:p>
        </w:tc>
        <w:tc>
          <w:tcPr/>
          <w:p>
            <w:pPr>
              <w:pStyle w:val="Compact"/>
            </w:pPr>
            <w:r>
              <w:t xml:space="preserve">Nothing mapped here governs it. Three documents are routinely offered as though they do, and each is about something else</w:t>
            </w:r>
          </w:p>
        </w:tc>
        <w:tc>
          <w:tcPr/>
          <w:p>
            <w:pPr>
              <w:pStyle w:val="Compact"/>
            </w:pPr>
            <w:hyperlink w:anchor="Xf419bb31d4316203dd4fd5a9c399af24e8e654b">
              <w:r>
                <w:rPr>
                  <w:rStyle w:val="Hyperlink"/>
                </w:rPr>
                <w:t xml:space="preserve">Where an AI coding assistant sits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ut-one-who-is-it-addressed-to"/>
    <w:p>
      <w:pPr>
        <w:pStyle w:val="Heading2"/>
      </w:pPr>
      <w:r>
        <w:t xml:space="preserve">Cut one: who is it addressed to</w:t>
      </w:r>
    </w:p>
    <w:p>
      <w:pPr>
        <w:pStyle w:val="FirstParagraph"/>
      </w:pPr>
      <w:r>
        <w:t xml:space="preserve">The addressee is the most stable fact about a document. Status, trigger and enforcement machinery</w:t>
      </w:r>
      <w:r>
        <w:t xml:space="preserve"> </w:t>
      </w:r>
      <w:r>
        <w:t xml:space="preserve">change constantly; the audience almost never does.</w:t>
      </w:r>
    </w:p>
    <w:p>
      <w:pPr>
        <w:pStyle w:val="BodyText"/>
      </w:pPr>
      <w:r>
        <w:rPr>
          <w:b/>
          <w:bCs/>
        </w:rPr>
        <w:t xml:space="preserve">This is about who the sentences bind, not what the document is about.</w:t>
      </w:r>
      <w:r>
        <w:t xml:space="preserve"> </w:t>
      </w:r>
      <w:r>
        <w:t xml:space="preserve">The two come apart, and</w:t>
      </w:r>
      <w:r>
        <w:t xml:space="preserve"> </w:t>
      </w:r>
      <w:r>
        <w:t xml:space="preserve">that is the whole value of the cut. A publication can be entirely about how software gets built and</w:t>
      </w:r>
      <w:r>
        <w:t xml:space="preserve"> </w:t>
      </w:r>
      <w:r>
        <w:t xml:space="preserve">still be addressed to an organization that operates systems -- its development controls are written</w:t>
      </w:r>
      <w:r>
        <w:t xml:space="preserve"> </w:t>
      </w:r>
      <w:r>
        <w:t xml:space="preserve">to bind an entity with personnel, facilities and an authorization boundary, not to bind a build.</w:t>
      </w:r>
      <w:r>
        <w:t xml:space="preserve"> </w:t>
      </w:r>
      <w:r>
        <w:t xml:space="preserve">Sorting by subject matter puts such a document next to a producer framework and invites a producer to</w:t>
      </w:r>
      <w:r>
        <w:t xml:space="preserve"> </w:t>
      </w:r>
      <w:r>
        <w:t xml:space="preserve">answer requirements that were never asked of them.</w:t>
      </w:r>
    </w:p>
    <w:p>
      <w:pPr>
        <w:pStyle w:val="BodyText"/>
      </w:pPr>
      <w:r>
        <w:rPr>
          <w:b/>
          <w:bCs/>
        </w:rPr>
        <w:t xml:space="preserve">"Addressed to an assessor" does not mean "what an auditor will ask you for".</w:t>
      </w:r>
      <w:r>
        <w:t xml:space="preserve"> </w:t>
      </w:r>
      <w:r>
        <w:t xml:space="preserve">It means the</w:t>
      </w:r>
      <w:r>
        <w:t xml:space="preserve"> </w:t>
      </w:r>
      <w:r>
        <w:t xml:space="preserve">document tells someone how to conduct an examination -- the procedure, and who may run it. These are</w:t>
      </w:r>
      <w:r>
        <w:t xml:space="preserve"> </w:t>
      </w:r>
      <w:r>
        <w:t xml:space="preserve">method manuals for the examiner, not the evidence you hand over. Read the other way, the natural next</w:t>
      </w:r>
      <w:r>
        <w:t xml:space="preserve"> </w:t>
      </w:r>
      <w:r>
        <w:t xml:space="preserve">move is to build to them, which manufactures controls nothing ever required.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Addressed to</w:t>
            </w:r>
          </w:p>
        </w:tc>
        <w:tc>
          <w:tcPr/>
          <w:p>
            <w:pPr>
              <w:pStyle w:val="Compact"/>
            </w:pPr>
            <w:r>
              <w:t xml:space="preserve">What it is describing</w:t>
            </w:r>
          </w:p>
        </w:tc>
        <w:tc>
          <w:tcPr/>
          <w:p>
            <w:pPr>
              <w:pStyle w:val="Compact"/>
            </w:pPr>
            <w:r>
              <w:t xml:space="preserve">The failure when you get it wrong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software producer</w:t>
            </w:r>
          </w:p>
        </w:tc>
        <w:tc>
          <w:tcPr/>
          <w:p>
            <w:pPr>
              <w:pStyle w:val="Compact"/>
            </w:pPr>
            <w:r>
              <w:t xml:space="preserve">How code is built, reviewed, released and evidenced</w:t>
            </w:r>
          </w:p>
        </w:tc>
        <w:tc>
          <w:tcPr/>
          <w:p>
            <w:pPr>
              <w:pStyle w:val="Compact"/>
            </w:pPr>
            <w:r>
              <w:t xml:space="preserve">An operating-environment instrument offered as evidence about a build practice it never examined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organization that operates systems</w:t>
            </w:r>
          </w:p>
        </w:tc>
        <w:tc>
          <w:tcPr/>
          <w:p>
            <w:pPr>
              <w:pStyle w:val="Compact"/>
            </w:pPr>
            <w:r>
              <w:t xml:space="preserve">How an entity runs, governs and secures systems it operates, with personnel, facilities and an authorization boundary</w:t>
            </w:r>
          </w:p>
        </w:tc>
        <w:tc>
          <w:tcPr/>
          <w:p>
            <w:pPr>
              <w:pStyle w:val="Compact"/>
            </w:pPr>
            <w:r>
              <w:t xml:space="preserve">A management-system or program instrument offered as evidence that a product is secure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assessor</w:t>
            </w:r>
          </w:p>
        </w:tc>
        <w:tc>
          <w:tcPr/>
          <w:p>
            <w:pPr>
              <w:pStyle w:val="Compact"/>
            </w:pPr>
            <w:r>
              <w:t xml:space="preserve">How an audit or examination is conducted, and by whom</w:t>
            </w:r>
          </w:p>
        </w:tc>
        <w:tc>
          <w:tcPr/>
          <w:p>
            <w:pPr>
              <w:pStyle w:val="Compact"/>
            </w:pPr>
            <w:r>
              <w:t xml:space="preserve">Assessor rules read as requirements on yourself, producing controls the standard never asked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Nobody: infrastructure and vocabulary</w:t>
            </w:r>
          </w:p>
        </w:tc>
        <w:tc>
          <w:tcPr/>
          <w:p>
            <w:pPr>
              <w:pStyle w:val="Compact"/>
            </w:pPr>
            <w:r>
              <w:t xml:space="preserve">Identifier spaces, formats and vocabularies that nobody conforms to</w:t>
            </w:r>
          </w:p>
        </w:tc>
        <w:tc>
          <w:tcPr/>
          <w:p>
            <w:pPr>
              <w:pStyle w:val="Compact"/>
            </w:pPr>
            <w:r>
              <w:t xml:space="preserve">An identifier read as a severity, or a format's standards-body lineage read as a compliance grade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row, one place.</w:t>
      </w:r>
      <w:r>
        <w:t xml:space="preserve"> </w:t>
      </w:r>
      <w:r>
        <w:t xml:space="preserve">Every item below appears in exactly one table. An item addressing two</w:t>
      </w:r>
      <w:r>
        <w:t xml:space="preserve"> </w:t>
      </w:r>
      <w:r>
        <w:t xml:space="preserve">audiences is placed where the cost of acting lands, and named in the other bucket by bare</w:t>
      </w:r>
      <w:r>
        <w:t xml:space="preserve"> </w:t>
      </w:r>
      <w:r>
        <w:t xml:space="preserve">cross-reference only. So the assessment-procedure companions sit with the assessor, though a</w:t>
      </w:r>
      <w:r>
        <w:t xml:space="preserve"> </w:t>
      </w:r>
      <w:r>
        <w:t xml:space="preserve">producing team meets them through a customer; the SBOM minimum elements sit with the producer, who</w:t>
      </w:r>
      <w:r>
        <w:t xml:space="preserve"> </w:t>
      </w:r>
      <w:r>
        <w:t xml:space="preserve">generates the artifact; the SBOM formats sit in infrastructure, because nobody conforms to a format;</w:t>
      </w:r>
      <w:r>
        <w:t xml:space="preserve"> </w:t>
      </w:r>
      <w:r>
        <w:t xml:space="preserve">and the defense CUI chain sits with the operating organization, because it is about systems you</w:t>
      </w:r>
      <w:r>
        <w:t xml:space="preserve"> </w:t>
      </w:r>
      <w:r>
        <w:t xml:space="preserve">operate -- the correction most often needed.</w:t>
      </w:r>
    </w:p>
    <w:p>
      <w:r>
        <w:pict>
          <v:rect style="width:0;height:1.5pt" o:hralign="center" o:hrstd="t" o:hr="t"/>
        </w:pict>
      </w:r>
    </w:p>
    <w:bookmarkEnd w:id="13"/>
    <w:bookmarkStart w:id="14" w:name="cut-two-what-does-it-actually-issue"/>
    <w:p>
      <w:pPr>
        <w:pStyle w:val="Heading2"/>
      </w:pPr>
      <w:r>
        <w:t xml:space="preserve">Cut two: what does it actually issue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issues</w:t>
            </w:r>
          </w:p>
        </w:tc>
        <w:tc>
          <w:tcPr/>
          <w:p>
            <w:pPr>
              <w:pStyle w:val="Compact"/>
            </w:pPr>
            <w:r>
              <w:t xml:space="preserve">What that means when somebody asks you for it</w:t>
            </w:r>
          </w:p>
        </w:tc>
        <w:tc>
          <w:tcPr/>
          <w:p>
            <w:pPr>
              <w:pStyle w:val="Compact"/>
            </w:pPr>
            <w:r>
              <w:t xml:space="preserve">Examples on this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There is no artifact to obtain. Offer what exists: named control correspondences, your own evidence, a written program</w:t>
            </w:r>
          </w:p>
        </w:tc>
        <w:tc>
          <w:tcPr/>
          <w:p>
            <w:pPr>
              <w:pStyle w:val="Compact"/>
            </w:pPr>
            <w:r>
              <w:t xml:space="preserve">Most items here, including every framework and every control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self-attestation you sign yourself</w:t>
            </w:r>
          </w:p>
        </w:tc>
        <w:tc>
          <w:tcPr/>
          <w:p>
            <w:pPr>
              <w:pStyle w:val="Compact"/>
            </w:pPr>
            <w:r>
              <w:t xml:space="preserve">The signature is the instrument, and the exposure is yours. Nobody independent looked</w:t>
            </w:r>
          </w:p>
        </w:tc>
        <w:tc>
          <w:tcPr/>
          <w:p>
            <w:pPr>
              <w:pStyle w:val="Compact"/>
            </w:pPr>
            <w:r>
              <w:t xml:space="preserve">The federal attestation form; the defense self-assessment score and annual affirmation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assessment or examination report</w:t>
            </w:r>
          </w:p>
        </w:tc>
        <w:tc>
          <w:tcPr/>
          <w:p>
            <w:pPr>
              <w:pStyle w:val="Compact"/>
            </w:pPr>
            <w:r>
              <w:t xml:space="preserve">Usually restricted in use, and there is no pass mark. SOC 2 carries a licensed firm's opinion; a CUI assessment carries findings only</w:t>
            </w:r>
          </w:p>
        </w:tc>
        <w:tc>
          <w:tcPr/>
          <w:p>
            <w:pPr>
              <w:pStyle w:val="Compact"/>
            </w:pPr>
            <w:r>
              <w:t xml:space="preserve">SOC 2; a CUI assessment run to the published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third-party certificate from an accredited body</w:t>
            </w:r>
          </w:p>
        </w:tc>
        <w:tc>
          <w:tcPr/>
          <w:p>
            <w:pPr>
              <w:pStyle w:val="Compact"/>
            </w:pPr>
            <w:r>
              <w:t xml:space="preserve">A certificate for a stated scope. The accreditation is what gives it weight</w:t>
            </w:r>
          </w:p>
        </w:tc>
        <w:tc>
          <w:tcPr/>
          <w:p>
            <w:pPr>
              <w:pStyle w:val="Compact"/>
            </w:pPr>
            <w:r>
              <w:t xml:space="preserve">ISO/IEC 27001; one rung of the defense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government program status or certification</w:t>
            </w:r>
          </w:p>
        </w:tc>
        <w:tc>
          <w:tcPr/>
          <w:p>
            <w:pPr>
              <w:pStyle w:val="Compact"/>
            </w:pPr>
            <w:r>
              <w:t xml:space="preserve">A status recorded and published by the program, for a named offering rather than for a company</w:t>
            </w:r>
          </w:p>
        </w:tc>
        <w:tc>
          <w:tcPr/>
          <w:p>
            <w:pPr>
              <w:pStyle w:val="Compact"/>
            </w:pPr>
            <w:r>
              <w:t xml:space="preserve">FedRAMP, GovRAMP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conformity mark you affix yourself after your own assessment</w:t>
            </w:r>
          </w:p>
        </w:tc>
        <w:tc>
          <w:tcPr/>
          <w:p>
            <w:pPr>
              <w:pStyle w:val="Compact"/>
            </w:pPr>
            <w:r>
              <w:t xml:space="preserve">You assess, declare and mark. A third body is involved only for some product classes</w:t>
            </w:r>
          </w:p>
        </w:tc>
        <w:tc>
          <w:tcPr/>
          <w:p>
            <w:pPr>
              <w:pStyle w:val="Compact"/>
            </w:pPr>
            <w:r>
              <w:t xml:space="preserve">The EU Cyber Resilience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Identifiers, a score, or a measurement definition</w:t>
            </w:r>
          </w:p>
        </w:tc>
        <w:tc>
          <w:tcPr/>
          <w:p>
            <w:pPr>
              <w:pStyle w:val="Compact"/>
            </w:pPr>
            <w:r>
              <w:t xml:space="preserve">Data, not a verdict. A measurement definition produces a number only once some tool implements it</w:t>
            </w:r>
          </w:p>
        </w:tc>
        <w:tc>
          <w:tcPr/>
          <w:p>
            <w:pPr>
              <w:pStyle w:val="Compact"/>
            </w:pPr>
            <w:r>
              <w:t xml:space="preserve">CWE, CVE, EPSS, the automated source code measures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addressed-to-a-software-producer"/>
    <w:p>
      <w:pPr>
        <w:pStyle w:val="Heading2"/>
      </w:pPr>
      <w:r>
        <w:t xml:space="preserve">Addressed to a software producer</w:t>
      </w:r>
    </w:p>
    <w:p>
      <w:pPr>
        <w:pStyle w:val="FirstParagraph"/>
      </w:pPr>
      <w:r>
        <w:t xml:space="preserve">These describe how software is built and released. One of them binds a producer directly; the rest</w:t>
      </w:r>
      <w:r>
        <w:t xml:space="preserve"> </w:t>
      </w:r>
      <w:r>
        <w:t xml:space="preserve">arrive only when a customer, a contract or a package ecosystem names them.</w:t>
      </w:r>
    </w:p>
    <w:bookmarkStart w:id="16" w:name="requirement-shaped-and-binding-items"/>
    <w:p>
      <w:pPr>
        <w:pStyle w:val="Heading3"/>
      </w:pPr>
      <w:r>
        <w:t xml:space="preserve">Requirement-shaped and binding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it issues</w:t>
            </w:r>
          </w:p>
        </w:tc>
        <w:tc>
          <w:tcPr/>
          <w:p>
            <w:pPr>
              <w:pStyle w:val="Compact"/>
            </w:pPr>
            <w:r>
              <w:t xml:space="preserve">What puts you in scope</w:t>
            </w:r>
          </w:p>
        </w:tc>
        <w:tc>
          <w:tcPr/>
          <w:p>
            <w:pPr>
              <w:pStyle w:val="Compact"/>
            </w:pPr>
            <w:r>
              <w:t xml:space="preserve">Status (checked 2026-08-06)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800-218 v1.1 (SSDF)</w:t>
            </w:r>
          </w:p>
        </w:tc>
        <w:tc>
          <w:tcPr/>
          <w:p>
            <w:pPr>
              <w:pStyle w:val="Compact"/>
            </w:pPr>
            <w:r>
              <w:t xml:space="preserve">Nothing. No conformance criteria, no levels, no assessment procedure</w:t>
            </w:r>
          </w:p>
        </w:tc>
        <w:tc>
          <w:tcPr/>
          <w:p>
            <w:pPr>
              <w:pStyle w:val="Compact"/>
            </w:pPr>
            <w:r>
              <w:t xml:space="preserve">A contract clause, an agency assurance policy, or a questionnaire quoting practice identifiers</w:t>
            </w:r>
          </w:p>
        </w:tc>
        <w:tc>
          <w:tcPr/>
          <w:p>
            <w:pPr>
              <w:pStyle w:val="Compact"/>
            </w:pPr>
            <w:r>
              <w:t xml:space="preserve">Final since 2022-02-03 and not withdrawn. A draft successor, SP 800-218r1 (v1.2), has been open since 2025-12-17 and is not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800-218A (SSDF community profile for AI models)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Building or fine-tuning generative AI or dual-use foundation models, when a contract names it</w:t>
            </w:r>
          </w:p>
        </w:tc>
        <w:tc>
          <w:tcPr/>
          <w:p>
            <w:pPr>
              <w:pStyle w:val="Compact"/>
            </w:pPr>
            <w:r>
              <w:t xml:space="preserve">Final 2024-07-26. The executive order that commissioned it was revoked 2025-01-20; the publication itself stands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CISA Secure Software Development Attestation Form</w:t>
            </w:r>
          </w:p>
        </w:tc>
        <w:tc>
          <w:tcPr/>
          <w:p>
            <w:pPr>
              <w:pStyle w:val="Compact"/>
            </w:pPr>
            <w:r>
              <w:t xml:space="preserve">A self-attestation signed by an executive, or, on an alternative route the form itself permits, a third-party assessment attached in place of the signature. Not a certificate and not an audit</w:t>
            </w:r>
          </w:p>
        </w:tc>
        <w:tc>
          <w:tcPr/>
          <w:p>
            <w:pPr>
              <w:pStyle w:val="Compact"/>
            </w:pPr>
            <w:r>
              <w:t xml:space="preserve">An individual agency's contract term or request</w:t>
            </w:r>
          </w:p>
        </w:tc>
        <w:tc>
          <w:tcPr/>
          <w:p>
            <w:pPr>
              <w:pStyle w:val="Compact"/>
            </w:pPr>
            <w:r>
              <w:t xml:space="preserve">Still published, with clearance to 2027-03-31. Optional for agencies since the memoranda requiring it were rescinded on 2026-01-23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ASVS 5.0.0</w:t>
            </w:r>
          </w:p>
        </w:tc>
        <w:tc>
          <w:tcPr/>
          <w:p>
            <w:pPr>
              <w:pStyle w:val="Compact"/>
            </w:pPr>
            <w:r>
              <w:t xml:space="preserve">Nothing. Its own assessment chapter states that OWASP certifies no vendor or software</w:t>
            </w:r>
          </w:p>
        </w:tc>
        <w:tc>
          <w:tcPr/>
          <w:p>
            <w:pPr>
              <w:pStyle w:val="Compact"/>
            </w:pPr>
            <w:r>
              <w:t xml:space="preserve">A customer contract or questionnaire naming a verification level</w:t>
            </w:r>
          </w:p>
        </w:tc>
        <w:tc>
          <w:tcPr/>
          <w:p>
            <w:pPr>
              <w:pStyle w:val="Compact"/>
            </w:pPr>
            <w:r>
              <w:t xml:space="preserve">Released 2025-05-30, superseding 4.0.3 of 2021-10-28. Identifiers were reorganized rather than carried across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Cyber Resilience Act, Regulation (EU) 2024/2847</w:t>
            </w:r>
          </w:p>
        </w:tc>
        <w:tc>
          <w:tcPr/>
          <w:p>
            <w:pPr>
              <w:pStyle w:val="Compact"/>
            </w:pPr>
            <w:r>
              <w:t xml:space="preserve">A declaration of conformity and a mark you affix yourself; some product classes require a notified body</w:t>
            </w:r>
          </w:p>
        </w:tc>
        <w:tc>
          <w:tcPr/>
          <w:p>
            <w:pPr>
              <w:pStyle w:val="Compact"/>
            </w:pPr>
            <w:r>
              <w:t xml:space="preserve">Placing a product with digital elements on the EU market. The trigger is where the product goes</w:t>
            </w:r>
          </w:p>
        </w:tc>
        <w:tc>
          <w:tcPr/>
          <w:p>
            <w:pPr>
              <w:pStyle w:val="Compact"/>
            </w:pPr>
            <w:r>
              <w:t xml:space="preserve">In force 2024-12-10. Reporting obligations apply from 2026-09-11; the main body of obligations from 2027-12-11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SLSA v1.2</w:t>
            </w:r>
          </w:p>
        </w:tc>
        <w:tc>
          <w:tcPr/>
          <w:p>
            <w:pPr>
              <w:pStyle w:val="Compact"/>
            </w:pPr>
            <w:r>
              <w:t xml:space="preserve">Nothing. Machine-readable provenance the consumer verifies. There is no register of levels</w:t>
            </w:r>
          </w:p>
        </w:tc>
        <w:tc>
          <w:tcPr/>
          <w:p>
            <w:pPr>
              <w:pStyle w:val="Compact"/>
            </w:pPr>
            <w:r>
              <w:t xml:space="preserve">A customer or a package ecosystem asking for build provenance</w:t>
            </w:r>
          </w:p>
        </w:tc>
        <w:tc>
          <w:tcPr/>
          <w:p>
            <w:pPr>
              <w:pStyle w:val="Compact"/>
            </w:pPr>
            <w:r>
              <w:t xml:space="preserve">Approved 2025-11-12, released 2025-11-24. It restored a Source track with four levels; there is still no Build L4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CISA 2026 Minimum Elements for an SBOM</w:t>
            </w:r>
          </w:p>
        </w:tc>
        <w:tc>
          <w:tcPr/>
          <w:p>
            <w:pPr>
              <w:pStyle w:val="Compact"/>
            </w:pPr>
            <w:r>
              <w:t xml:space="preserve">Nothing. It defines fields, states that it creates no new requirements, and places accuracy, coverage and completeness out of its own scope</w:t>
            </w:r>
          </w:p>
        </w:tc>
        <w:tc>
          <w:tcPr/>
          <w:p>
            <w:pPr>
              <w:pStyle w:val="Compact"/>
            </w:pPr>
            <w:r>
              <w:t xml:space="preserve">A contract term requiring an SBOM. In US federal contracting that is now each agency's own choice</w:t>
            </w:r>
          </w:p>
        </w:tc>
        <w:tc>
          <w:tcPr/>
          <w:p>
            <w:pPr>
              <w:pStyle w:val="Compact"/>
            </w:pPr>
            <w:r>
              <w:t xml:space="preserve">Published 2026-07-29, replacing the minimum elements of 2021-07-12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5055:2021 and OMG ASCQM 1.1</w:t>
            </w:r>
          </w:p>
        </w:tc>
        <w:tc>
          <w:tcPr/>
          <w:p>
            <w:pPr>
              <w:pStyle w:val="Compact"/>
            </w:pPr>
            <w:r>
              <w:t xml:space="preserve">Nothing. Defined counts of severe structural weaknesses, once a tool implements them</w:t>
            </w:r>
          </w:p>
        </w:tc>
        <w:tc>
          <w:tcPr/>
          <w:p>
            <w:pPr>
              <w:pStyle w:val="Compact"/>
            </w:pPr>
            <w:r>
              <w:t xml:space="preserve">An enterprise or supplier contract specifying automated source code measures</w:t>
            </w:r>
          </w:p>
        </w:tc>
        <w:tc>
          <w:tcPr/>
          <w:p>
            <w:pPr>
              <w:pStyle w:val="Compact"/>
            </w:pPr>
            <w:r>
              <w:t xml:space="preserve">ISO adoption announced 2021-04-07; ASCQM 1.1 formal since July 2022. One measure family in two venues, not two obligations</w:t>
            </w:r>
          </w:p>
        </w:tc>
      </w:tr>
    </w:tbl>
    <w:p>
      <w:pPr>
        <w:pStyle w:val="BodyText"/>
      </w:pPr>
      <w:r>
        <w:t xml:space="preserve">Four notes the cells cannot carry.</w:t>
      </w:r>
      <w:r>
        <w:t xml:space="preserve"> </w:t>
      </w:r>
      <w:r>
        <w:rPr>
          <w:b/>
          <w:bCs/>
        </w:rPr>
        <w:t xml:space="preserve">SLSA provenance is written as an in-toto attestation</w:t>
      </w:r>
      <w:r>
        <w:t xml:space="preserve">, so the</w:t>
      </w:r>
      <w:r>
        <w:t xml:space="preserve"> </w:t>
      </w:r>
      <w:r>
        <w:t xml:space="preserve">two are layered rather than rival options; a requirements document offering a choice between them was</w:t>
      </w:r>
      <w:r>
        <w:t xml:space="preserve"> </w:t>
      </w:r>
      <w:r>
        <w:t xml:space="preserve">written by someone who had not read either.</w:t>
      </w:r>
      <w:r>
        <w:t xml:space="preserve"> </w:t>
      </w:r>
      <w:r>
        <w:rPr>
          <w:b/>
          <w:bCs/>
        </w:rPr>
        <w:t xml:space="preserve">Sigstore</w:t>
      </w:r>
      <w:r>
        <w:t xml:space="preserve"> </w:t>
      </w:r>
      <w:r>
        <w:t xml:space="preserve">issues identity-bound short-lived</w:t>
      </w:r>
      <w:r>
        <w:t xml:space="preserve"> </w:t>
      </w:r>
      <w:r>
        <w:t xml:space="preserve">certificates plus a public transparency log entry, which evidence who signed and when and nothing</w:t>
      </w:r>
      <w:r>
        <w:t xml:space="preserve"> </w:t>
      </w:r>
      <w:r>
        <w:t xml:space="preserve">about what was signed; its public instances are community-operated with no service level. And</w:t>
      </w:r>
      <w:r>
        <w:t xml:space="preserve"> </w:t>
      </w:r>
      <w:r>
        <w:rPr>
          <w:b/>
          <w:bCs/>
        </w:rPr>
        <w:t xml:space="preserve">a conforming SBOM can still be inaccurate and incomplete</w:t>
      </w:r>
      <w:r>
        <w:t xml:space="preserve"> </w:t>
      </w:r>
      <w:r>
        <w:t xml:space="preserve">-- the 2026 minimum elements say so</w:t>
      </w:r>
      <w:r>
        <w:t xml:space="preserve"> </w:t>
      </w:r>
      <w:r>
        <w:t xml:space="preserve">themselves, and point at a signature, at binary analysis, and at exploitability advisories as</w:t>
      </w:r>
      <w:r>
        <w:t xml:space="preserve"> </w:t>
      </w:r>
      <w:r>
        <w:t xml:space="preserve">separate mechanisms. Component inventory and build provenance as controls -- rather than as any named</w:t>
      </w:r>
      <w:r>
        <w:t xml:space="preserve"> </w:t>
      </w:r>
      <w:r>
        <w:t xml:space="preserve">framework -- are covered in</w:t>
      </w:r>
      <w:r>
        <w:t xml:space="preserve"> </w:t>
      </w:r>
      <w:hyperlink r:id="rId15">
        <w:r>
          <w:rPr>
            <w:rStyle w:val="Hyperlink"/>
          </w:rPr>
          <w:t xml:space="preserve">Dependency integrity</w:t>
        </w:r>
      </w:hyperlink>
      <w:r>
        <w:t xml:space="preserve">, which names no baseline</w:t>
      </w:r>
      <w:r>
        <w:t xml:space="preserve"> </w:t>
      </w:r>
      <w:r>
        <w:t xml:space="preserve">and claims correspondence with none.</w:t>
      </w:r>
    </w:p>
    <w:bookmarkEnd w:id="16"/>
    <w:bookmarkStart w:id="17" w:name="rankings-and-awareness-lists"/>
    <w:p>
      <w:pPr>
        <w:pStyle w:val="Heading3"/>
      </w:pPr>
      <w:r>
        <w:t xml:space="preserve">Rankings and awareness lists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it issues</w:t>
            </w:r>
          </w:p>
        </w:tc>
        <w:tc>
          <w:tcPr/>
          <w:p>
            <w:pPr>
              <w:pStyle w:val="Compact"/>
            </w:pPr>
            <w:r>
              <w:t xml:space="preserve">What puts you in scope</w:t>
            </w:r>
          </w:p>
        </w:tc>
        <w:tc>
          <w:tcPr/>
          <w:p>
            <w:pPr>
              <w:pStyle w:val="Compact"/>
            </w:pPr>
            <w:r>
              <w:t xml:space="preserve">Status (checked 2026-08-06)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Top 10:2025</w:t>
            </w:r>
          </w:p>
        </w:tc>
        <w:tc>
          <w:tcPr/>
          <w:p>
            <w:pPr>
              <w:pStyle w:val="Compact"/>
            </w:pPr>
            <w:r>
              <w:t xml:space="preserve">Nothing. OWASP calls it an awareness document</w:t>
            </w:r>
          </w:p>
        </w:tc>
        <w:tc>
          <w:tcPr/>
          <w:p>
            <w:pPr>
              <w:pStyle w:val="Compact"/>
            </w:pPr>
            <w:r>
              <w:t xml:space="preserve">A contract clause or questionnaire saying a product was tested against it, and scanner report headings</w:t>
            </w:r>
          </w:p>
        </w:tc>
        <w:tc>
          <w:tcPr/>
          <w:p>
            <w:pPr>
              <w:pStyle w:val="Compact"/>
            </w:pPr>
            <w:r>
              <w:t xml:space="preserve">The 2025 edition is current on the project's own page, which stamps no final publication date. A release candidate in November 2025 and finalization in January 2026, per secondary coverage. Two categories are new, and an older category was absorbed into another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Top 10 for LLM Applications, 2026 edition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An AI feature review, a customer AI questionnaire, or an internal policy naming it</w:t>
            </w:r>
          </w:p>
        </w:tc>
        <w:tc>
          <w:tcPr/>
          <w:p>
            <w:pPr>
              <w:pStyle w:val="Compact"/>
            </w:pPr>
            <w:r>
              <w:t xml:space="preserve">Dated 2026-08-03 on the project's own resource page, with press coverage on 2026-08-04. The prior edition dates from 2024-11-18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CWE Top 25, 2025 edition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A policy or questionnaire naming it, and occasionally procurement language asking for coverage</w:t>
            </w:r>
          </w:p>
        </w:tc>
        <w:tc>
          <w:tcPr/>
          <w:p>
            <w:pPr>
              <w:pStyle w:val="Compact"/>
            </w:pPr>
            <w:r>
              <w:t xml:space="preserve">2025 edition announced 2025-12-11, project page updated 2026-01-29. Any reference to a 2026 edition is unconfirmed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 ranking has no completion condition and cannot be discharged as written.</w:t>
      </w:r>
      <w:r>
        <w:t xml:space="preserve"> </w:t>
      </w:r>
      <w:r>
        <w:t xml:space="preserve">A clause requiring</w:t>
      </w:r>
      <w:r>
        <w:t xml:space="preserve"> </w:t>
      </w:r>
      <w:r>
        <w:t xml:space="preserve">software to be free of the issues in an ordered list of categories never says when verification is</w:t>
      </w:r>
      <w:r>
        <w:t xml:space="preserve"> </w:t>
      </w:r>
      <w:r>
        <w:t xml:space="preserve">finished, so a program scoped that way finishes when the scanner stops printing. A requirement set is</w:t>
      </w:r>
      <w:r>
        <w:t xml:space="preserve"> </w:t>
      </w:r>
      <w:r>
        <w:t xml:space="preserve">verifiable item by item and has a defensible done. Convert a ranking clause into a requirement-set</w:t>
      </w:r>
      <w:r>
        <w:t xml:space="preserve"> </w:t>
      </w:r>
      <w:r>
        <w:t xml:space="preserve">clause</w:t>
      </w:r>
      <w:r>
        <w:t xml:space="preserve"> </w:t>
      </w:r>
      <w:r>
        <w:rPr>
          <w:b/>
          <w:bCs/>
        </w:rPr>
        <w:t xml:space="preserve">while the clause is being agreed</w:t>
      </w:r>
      <w:r>
        <w:t xml:space="preserve">: by assessment time the only remaining options are to</w:t>
      </w:r>
      <w:r>
        <w:t xml:space="preserve"> </w:t>
      </w:r>
      <w:r>
        <w:t xml:space="preserve">argue or to over-deliver. That conversation is the cheapest thing on this page.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098e3a8f26fc13ca3ead059c5f4e902207fd433"/>
    <w:p>
      <w:pPr>
        <w:pStyle w:val="Heading2"/>
      </w:pPr>
      <w:r>
        <w:t xml:space="preserve">Addressed to an organization that operates systems</w:t>
      </w:r>
    </w:p>
    <w:p>
      <w:pPr>
        <w:pStyle w:val="FirstParagraph"/>
      </w:pPr>
      <w:r>
        <w:t xml:space="preserve">None of these certifies a product, and all of them are routinely offered as product evidence. Where</w:t>
      </w:r>
      <w:r>
        <w:t xml:space="preserve"> </w:t>
      </w:r>
      <w:r>
        <w:t xml:space="preserve">one reaches a software producer, it reaches them through a contract rather than through the regime.</w:t>
      </w:r>
    </w:p>
    <w:p>
      <w:pPr>
        <w:pStyle w:val="BodyText"/>
      </w:pPr>
      <w:r>
        <w:t xml:space="preserve">The chain worth carrying, because it tells you which document a question belongs to: FIPS 199</w:t>
      </w:r>
      <w:r>
        <w:t xml:space="preserve"> </w:t>
      </w:r>
      <w:r>
        <w:t xml:space="preserve">categorizes, SP 800-60 Rev. 1 guides the categorizing, FIPS 200 sets a floor, SP 800-53B selects a</w:t>
      </w:r>
      <w:r>
        <w:t xml:space="preserve"> </w:t>
      </w:r>
      <w:r>
        <w:t xml:space="preserve">baseline, SP 800-53 supplies the control text, and SP 800-53A assesses it. SP 800-122 sits to the</w:t>
      </w:r>
      <w:r>
        <w:t xml:space="preserve"> </w:t>
      </w:r>
      <w:r>
        <w:t xml:space="preserve">side, covering personal data. Most questions arrive attached to the wrong link.</w:t>
      </w:r>
    </w:p>
    <w:bookmarkStart w:id="19" w:name="certification-and-program-regimes"/>
    <w:p>
      <w:pPr>
        <w:pStyle w:val="Heading3"/>
      </w:pPr>
      <w:r>
        <w:t xml:space="preserve">Certification and program regimes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it issues</w:t>
            </w:r>
          </w:p>
        </w:tc>
        <w:tc>
          <w:tcPr/>
          <w:p>
            <w:pPr>
              <w:pStyle w:val="Compact"/>
            </w:pPr>
            <w:r>
              <w:t xml:space="preserve">What puts you in scope</w:t>
            </w:r>
          </w:p>
        </w:tc>
        <w:tc>
          <w:tcPr/>
          <w:p>
            <w:pPr>
              <w:pStyle w:val="Compact"/>
            </w:pPr>
            <w:r>
              <w:t xml:space="preserve">Status (checked 2026-08-06)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 (plus Amendment 1:2024)</w:t>
            </w:r>
          </w:p>
        </w:tc>
        <w:tc>
          <w:tcPr/>
          <w:p>
            <w:pPr>
              <w:pStyle w:val="Compact"/>
            </w:pPr>
            <w:r>
              <w:t xml:space="preserve">A third-party certificate from a certification body, for a stated scope. ISO itself issues nothing</w:t>
            </w:r>
          </w:p>
        </w:tc>
        <w:tc>
          <w:tcPr/>
          <w:p>
            <w:pPr>
              <w:pStyle w:val="Compact"/>
            </w:pPr>
            <w:r>
              <w:t xml:space="preserve">A customer or procurement requirement, most often in vendor onboarding</w:t>
            </w:r>
          </w:p>
        </w:tc>
        <w:tc>
          <w:tcPr/>
          <w:p>
            <w:pPr>
              <w:pStyle w:val="Compact"/>
            </w:pPr>
            <w:r>
              <w:t xml:space="preserve">Published 2022-10; Amendment 1 published 2024-02-23. The 2013-edition transition ended 2025-10-31, per secondary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27002:2022</w:t>
            </w:r>
          </w:p>
        </w:tc>
        <w:tc>
          <w:tcPr/>
          <w:p>
            <w:pPr>
              <w:pStyle w:val="Compact"/>
            </w:pPr>
            <w:r>
              <w:t xml:space="preserve">Nothing. It explains how to implement the controls the certifiable standard lists</w:t>
            </w:r>
          </w:p>
        </w:tc>
        <w:tc>
          <w:tcPr/>
          <w:p>
            <w:pPr>
              <w:pStyle w:val="Compact"/>
            </w:pPr>
            <w:r>
              <w:t xml:space="preserve">No independent trigger. It arrives beside a certification program, or in error on a questionnaire</w:t>
            </w:r>
          </w:p>
        </w:tc>
        <w:tc>
          <w:tcPr/>
          <w:p>
            <w:pPr>
              <w:pStyle w:val="Compact"/>
            </w:pPr>
            <w:r>
              <w:t xml:space="preserve">Published 2022-02. It received a climate-related amendment in the same 2024 cycle; the designation was not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(Type 1 and Type 2)</w:t>
            </w:r>
          </w:p>
        </w:tc>
        <w:tc>
          <w:tcPr/>
          <w:p>
            <w:pPr>
              <w:pStyle w:val="Compact"/>
            </w:pPr>
            <w:r>
              <w:t xml:space="preserve">An examination report carrying a licensed firm's opinion. Restricted use, no pass mark, no certificate</w:t>
            </w:r>
          </w:p>
        </w:tc>
        <w:tc>
          <w:tcPr/>
          <w:p>
            <w:pPr>
              <w:pStyle w:val="Compact"/>
            </w:pPr>
            <w:r>
              <w:t xml:space="preserve">A customer questionnaire or contract clause, overwhelmingly in US business-to-business sales</w:t>
            </w:r>
          </w:p>
        </w:tc>
        <w:tc>
          <w:tcPr/>
          <w:p>
            <w:pPr>
              <w:pStyle w:val="Compact"/>
            </w:pPr>
            <w:r>
              <w:t xml:space="preserve">Criteria are the 2017 Trust Services Criteria with 2022 revised points of focus, posted 2023-09-30. The governing attestation standard applies to reports dated on or after 2022-06-15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</w:t>
            </w:r>
          </w:p>
        </w:tc>
        <w:tc>
          <w:tcPr/>
          <w:p>
            <w:pPr>
              <w:pStyle w:val="Compact"/>
            </w:pPr>
            <w:r>
              <w:t xml:space="preserve">A program certification for a service offering, listed publicly. An agency's own authorization stays a separate decision</w:t>
            </w:r>
          </w:p>
        </w:tc>
        <w:tc>
          <w:tcPr/>
          <w:p>
            <w:pPr>
              <w:pStyle w:val="Compact"/>
            </w:pPr>
            <w:r>
              <w:t xml:space="preserve">Selling a cloud service to a US federal agency</w:t>
            </w:r>
          </w:p>
        </w:tc>
        <w:tc>
          <w:tcPr/>
          <w:p>
            <w:pPr>
              <w:pStyle w:val="Compact"/>
            </w:pPr>
            <w:r>
              <w:t xml:space="preserve">Founding 2011 memorandum rescinded 2024-07-25. Phase 3 of the replacement model active since 2026-04. Rev5 intake closes 2027-06-11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GovRAMP (formerly StateRAMP)</w:t>
            </w:r>
          </w:p>
        </w:tc>
        <w:tc>
          <w:tcPr/>
          <w:p>
            <w:pPr>
              <w:pStyle w:val="Compact"/>
            </w:pPr>
            <w:r>
              <w:t xml:space="preserve">A verification status granted by the program office and published on a participants list</w:t>
            </w:r>
          </w:p>
        </w:tc>
        <w:tc>
          <w:tcPr/>
          <w:p>
            <w:pPr>
              <w:pStyle w:val="Compact"/>
            </w:pPr>
            <w:r>
              <w:t xml:space="preserve">A US state, local, tribal or education procurement requirement, varying by jurisdiction</w:t>
            </w:r>
          </w:p>
        </w:tc>
        <w:tc>
          <w:tcPr/>
          <w:p>
            <w:pPr>
              <w:pStyle w:val="Compact"/>
            </w:pPr>
            <w:r>
              <w:t xml:space="preserve">Rebranded 2025-02-14. StateRAMP remains the legal entity name, operating as GovRAMP, so both names are legitimately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DSS v4.0.1</w:t>
            </w:r>
          </w:p>
        </w:tc>
        <w:tc>
          <w:tcPr/>
          <w:p>
            <w:pPr>
              <w:pStyle w:val="Compact"/>
            </w:pPr>
            <w:r>
              <w:t xml:space="preserve">A report or a self-assessment questionnaire, plus a signed attestation. No certificate exists</w:t>
            </w:r>
          </w:p>
        </w:tc>
        <w:tc>
          <w:tcPr/>
          <w:p>
            <w:pPr>
              <w:pStyle w:val="Compact"/>
            </w:pPr>
            <w:r>
              <w:t xml:space="preserve">An agreement with an acquirer or a brand, arriving through the payment chain rather than a regulator</w:t>
            </w:r>
          </w:p>
        </w:tc>
        <w:tc>
          <w:tcPr/>
          <w:p>
            <w:pPr>
              <w:pStyle w:val="Compact"/>
            </w:pPr>
            <w:r>
              <w:t xml:space="preserve">v4.0.1 published 2024-06; v4.0 retired 2024-12-31; the future-dated requirements became mandatory 2025-03-31</w:t>
            </w:r>
          </w:p>
        </w:tc>
      </w:tr>
    </w:tbl>
    <w:p>
      <w:pPr>
        <w:pStyle w:val="BodyText"/>
      </w:pPr>
      <w:r>
        <w:t xml:space="preserve">The cloud programs assess a</w:t>
      </w:r>
      <w:r>
        <w:t xml:space="preserve"> </w:t>
      </w:r>
      <w:r>
        <w:rPr>
          <w:b/>
          <w:bCs/>
        </w:rPr>
        <w:t xml:space="preserve">service offering you operate</w:t>
      </w:r>
      <w:r>
        <w:t xml:space="preserve">, which is why they sit here rather than</w:t>
      </w:r>
      <w:r>
        <w:t xml:space="preserve"> </w:t>
      </w:r>
      <w:r>
        <w:t xml:space="preserve">with the producer items even though a software company usually pays for them. They are also fairly</w:t>
      </w:r>
      <w:r>
        <w:t xml:space="preserve"> </w:t>
      </w:r>
      <w:r>
        <w:t xml:space="preserve">described as producer-facing, since the trigger is a sale; they sit here because the unit assessed is</w:t>
      </w:r>
      <w:r>
        <w:t xml:space="preserve"> </w:t>
      </w:r>
      <w:r>
        <w:t xml:space="preserve">an offering with an authorization boundary. One has begun leveraging an external framework for its</w:t>
      </w:r>
      <w:r>
        <w:t xml:space="preserve"> </w:t>
      </w:r>
      <w:r>
        <w:t xml:space="preserve">lightest class only, and the program calls that class transitory: narrow, and not a shortcut.</w:t>
      </w:r>
    </w:p>
    <w:bookmarkEnd w:id="19"/>
    <w:bookmarkStart w:id="20" w:name="sector-and-jurisdiction-regimes"/>
    <w:p>
      <w:pPr>
        <w:pStyle w:val="Heading3"/>
      </w:pPr>
      <w:r>
        <w:t xml:space="preserve">Sector and jurisdiction regimes</w:t>
      </w:r>
    </w:p>
    <w:p>
      <w:pPr>
        <w:pStyle w:val="FirstParagraph"/>
      </w:pPr>
      <w:r>
        <w:t xml:space="preserve">Six regimes, presented as members of a set. None gets a worked example, and the operational</w:t>
      </w:r>
      <w:r>
        <w:t xml:space="preserve"> </w:t>
      </w:r>
      <w:r>
        <w:t xml:space="preserve">vocabulary of each is deliberately absent.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it issues</w:t>
            </w:r>
          </w:p>
        </w:tc>
        <w:tc>
          <w:tcPr/>
          <w:p>
            <w:pPr>
              <w:pStyle w:val="Compact"/>
            </w:pPr>
            <w:r>
              <w:t xml:space="preserve">What puts you in scope</w:t>
            </w:r>
          </w:p>
        </w:tc>
        <w:tc>
          <w:tcPr/>
          <w:p>
            <w:pPr>
              <w:pStyle w:val="Compact"/>
            </w:pPr>
            <w:r>
              <w:t xml:space="preserve">Status (checked 2026-08-06)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HIPAA Security Rule (45 CFR Part 164 Subpart C)</w:t>
            </w:r>
          </w:p>
        </w:tc>
        <w:tc>
          <w:tcPr/>
          <w:p>
            <w:pPr>
              <w:pStyle w:val="Compact"/>
            </w:pPr>
            <w:r>
              <w:t xml:space="preserve">Nothing. The enforcing agency has stated since 2003 that it recognizes no certification</w:t>
            </w:r>
          </w:p>
        </w:tc>
        <w:tc>
          <w:tcPr/>
          <w:p>
            <w:pPr>
              <w:pStyle w:val="Compact"/>
            </w:pPr>
            <w:r>
              <w:t xml:space="preserve">Being a covered organization, or an agreement flowing the obligation down a contract chain</w:t>
            </w:r>
          </w:p>
        </w:tc>
        <w:tc>
          <w:tcPr/>
          <w:p>
            <w:pPr>
              <w:pStyle w:val="Compact"/>
            </w:pPr>
            <w:r>
              <w:t xml:space="preserve">In force, operative text unchanged. A proposed overhaul published 2025-01-06 is not final; the projected final action has moved to July 2027, per secondary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FTC Safeguards Rule under GLBA (16 CFR Part 314)</w:t>
            </w:r>
          </w:p>
        </w:tc>
        <w:tc>
          <w:tcPr/>
          <w:p>
            <w:pPr>
              <w:pStyle w:val="Compact"/>
            </w:pPr>
            <w:r>
              <w:t xml:space="preserve">Nothing. A written program, a named accountable individual, and a reporting duty</w:t>
            </w:r>
          </w:p>
        </w:tc>
        <w:tc>
          <w:tcPr/>
          <w:p>
            <w:pPr>
              <w:pStyle w:val="Compact"/>
            </w:pPr>
            <w:r>
              <w:t xml:space="preserve">Meeting the rule's statutory definition of a covered institution, which reaches wider than self-image</w:t>
            </w:r>
          </w:p>
        </w:tc>
        <w:tc>
          <w:tcPr/>
          <w:p>
            <w:pPr>
              <w:pStyle w:val="Compact"/>
            </w:pPr>
            <w:r>
              <w:t xml:space="preserve">Substantive requirements fully effective 2023-06-09. The breach-reporting amendment became effective 2024-05-13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FERPA (20 U.S.C. 1232g; 34 CFR Part 99)</w:t>
            </w:r>
          </w:p>
        </w:tc>
        <w:tc>
          <w:tcPr/>
          <w:p>
            <w:pPr>
              <w:pStyle w:val="Compact"/>
            </w:pPr>
            <w:r>
              <w:t xml:space="preserve">Nothing. No certificate, no assessor, no registry. Enforcement runs through federal funding</w:t>
            </w:r>
          </w:p>
        </w:tc>
        <w:tc>
          <w:tcPr/>
          <w:p>
            <w:pPr>
              <w:pStyle w:val="Compact"/>
            </w:pPr>
            <w:r>
              <w:t xml:space="preserve">Receiving the covered federal funds, or a contract with an institution that does</w:t>
            </w:r>
          </w:p>
        </w:tc>
        <w:tc>
          <w:tcPr/>
          <w:p>
            <w:pPr>
              <w:pStyle w:val="Compact"/>
            </w:pPr>
            <w:r>
              <w:t xml:space="preserve">Statute in force since 1974; the regulations were substantially amended in 2008. No status change in the last 24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CJIS Security Policy</w:t>
            </w:r>
          </w:p>
        </w:tc>
        <w:tc>
          <w:tcPr/>
          <w:p>
            <w:pPr>
              <w:pStyle w:val="Compact"/>
            </w:pPr>
            <w:r>
              <w:t xml:space="preserve">No central certificate. An audit by the relevant authority, with the finding landing on the agency</w:t>
            </w:r>
          </w:p>
        </w:tc>
        <w:tc>
          <w:tcPr/>
          <w:p>
            <w:pPr>
              <w:pStyle w:val="Compact"/>
            </w:pPr>
            <w:r>
              <w:t xml:space="preserve">An agreement giving access to the covered data. The policy names contractors within its own scope</w:t>
            </w:r>
          </w:p>
        </w:tc>
        <w:tc>
          <w:tcPr/>
          <w:p>
            <w:pPr>
              <w:pStyle w:val="Compact"/>
            </w:pPr>
            <w:r>
              <w:t xml:space="preserve">v6.0 issued 2024-12-27, v6.1 dated 2026-06-25. Secondary reporting says audits continue against an earlier version; confirm with the auditing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NIS2 Directive ((EU) 2022/2555)</w:t>
            </w:r>
          </w:p>
        </w:tc>
        <w:tc>
          <w:tcPr/>
          <w:p>
            <w:pPr>
              <w:pStyle w:val="Compact"/>
            </w:pPr>
            <w:r>
              <w:t xml:space="preserve">Nothing at EU level. Obligations, deadlines and penalties come from a member state's transposing law</w:t>
            </w:r>
          </w:p>
        </w:tc>
        <w:tc>
          <w:tcPr/>
          <w:p>
            <w:pPr>
              <w:pStyle w:val="Compact"/>
            </w:pPr>
            <w:r>
              <w:t xml:space="preserve">Sector plus size thresholds under national law, which has to be tested per member state</w:t>
            </w:r>
          </w:p>
        </w:tc>
        <w:tc>
          <w:tcPr/>
          <w:p>
            <w:pPr>
              <w:pStyle w:val="Compact"/>
            </w:pPr>
            <w:r>
              <w:t xml:space="preserve">Transposition was due 2024-10-17 and remains incomplete. The Commission referred four member states to the Court of Justice in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cybersecurity disclosure rules (17 CFR Parts 229, 232, 239, 240, 249)</w:t>
            </w:r>
          </w:p>
        </w:tc>
        <w:tc>
          <w:tcPr/>
          <w:p>
            <w:pPr>
              <w:pStyle w:val="Compact"/>
            </w:pPr>
            <w:r>
              <w:t xml:space="preserve">Nothing. The output is a filing. No assessor and no examination</w:t>
            </w:r>
          </w:p>
        </w:tc>
        <w:tc>
          <w:tcPr/>
          <w:p>
            <w:pPr>
              <w:pStyle w:val="Compact"/>
            </w:pPr>
            <w:r>
              <w:t xml:space="preserve">Being a registrant of the relevant class. Nothing about your stack changes the answer</w:t>
            </w:r>
          </w:p>
        </w:tc>
        <w:tc>
          <w:tcPr/>
          <w:p>
            <w:pPr>
              <w:pStyle w:val="Compact"/>
            </w:pPr>
            <w:r>
              <w:t xml:space="preserve">Adopted 2023-07-26, effective 2023-09-05. A rescission petition was filed 2025-05-22; no adopting release was found as of 2026-08-06</w:t>
            </w:r>
          </w:p>
        </w:tc>
      </w:tr>
    </w:tbl>
    <w:p>
      <w:pPr>
        <w:pStyle w:val="BodyText"/>
      </w:pPr>
      <w:r>
        <w:t xml:space="preserve">One general point, visible here and elsewhere.</w:t>
      </w:r>
      <w:r>
        <w:t xml:space="preserve"> </w:t>
      </w:r>
      <w:r>
        <w:rPr>
          <w:b/>
          <w:bCs/>
        </w:rPr>
        <w:t xml:space="preserve">A resource guide to a rule is not the rule.</w:t>
      </w:r>
      <w:r>
        <w:t xml:space="preserve"> </w:t>
      </w:r>
      <w:r>
        <w:t xml:space="preserve">Several</w:t>
      </w:r>
      <w:r>
        <w:t xml:space="preserve"> </w:t>
      </w:r>
      <w:r>
        <w:t xml:space="preserve">of the regimes above have a publisher's implementation guide sitting beside them, and the two get</w:t>
      </w:r>
      <w:r>
        <w:t xml:space="preserve"> </w:t>
      </w:r>
      <w:r>
        <w:t xml:space="preserve">cited identically. A guide states no requirement and issues nothing, so conformance to one is not a</w:t>
      </w:r>
      <w:r>
        <w:t xml:space="preserve"> </w:t>
      </w:r>
      <w:r>
        <w:t xml:space="preserve">thing that exists, and a questionnaire asking a supplier to attest to a guide is asking for something</w:t>
      </w:r>
      <w:r>
        <w:t xml:space="preserve"> </w:t>
      </w:r>
      <w:r>
        <w:t xml:space="preserve">no party can supply.</w:t>
      </w:r>
    </w:p>
    <w:bookmarkEnd w:id="20"/>
    <w:bookmarkStart w:id="22" w:name="control-catalogs-and-operational-inputs"/>
    <w:p>
      <w:pPr>
        <w:pStyle w:val="Heading3"/>
      </w:pPr>
      <w:r>
        <w:t xml:space="preserve">Control catalogs and operational 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it issues</w:t>
            </w:r>
          </w:p>
        </w:tc>
        <w:tc>
          <w:tcPr/>
          <w:p>
            <w:pPr>
              <w:pStyle w:val="Compact"/>
            </w:pPr>
            <w:r>
              <w:t xml:space="preserve">What puts you in scope</w:t>
            </w:r>
          </w:p>
        </w:tc>
        <w:tc>
          <w:tcPr/>
          <w:p>
            <w:pPr>
              <w:pStyle w:val="Compact"/>
            </w:pPr>
            <w:r>
              <w:t xml:space="preserve">Status (checked 2026-08-06)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800-53 Rev. 5 (Release 5.2.0), with SP 800-53B and FIPS 199</w:t>
            </w:r>
          </w:p>
        </w:tc>
        <w:tc>
          <w:tcPr/>
          <w:p>
            <w:pPr>
              <w:pStyle w:val="Compact"/>
            </w:pPr>
            <w:r>
              <w:t xml:space="preserve">Nothing. A baseline is selected and an authorizing official decides. NIST certifies nobody</w:t>
            </w:r>
          </w:p>
        </w:tc>
        <w:tc>
          <w:tcPr/>
          <w:p>
            <w:pPr>
              <w:pStyle w:val="Compact"/>
            </w:pPr>
            <w:r>
              <w:t xml:space="preserve">A federal contract, a program requirement, or a customer questionnaire mapping its control set onto you</w:t>
            </w:r>
          </w:p>
        </w:tc>
        <w:tc>
          <w:tcPr/>
          <w:p>
            <w:pPr>
              <w:pStyle w:val="Compact"/>
            </w:pPr>
            <w:r>
              <w:t xml:space="preserve">Release 5.2.0 issued 2025-08-27 and added three controls; the baselines were not changed. FIPS 199 unchanged since February 2004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800-161 Rev. 1 (upd 1)</w:t>
            </w:r>
          </w:p>
        </w:tc>
        <w:tc>
          <w:tcPr/>
          <w:p>
            <w:pPr>
              <w:pStyle w:val="Compact"/>
            </w:pPr>
            <w:r>
              <w:t xml:space="preserve">Nothing. Guidance, structured as an overlay on the control catalog</w:t>
            </w:r>
          </w:p>
        </w:tc>
        <w:tc>
          <w:tcPr/>
          <w:p>
            <w:pPr>
              <w:pStyle w:val="Compact"/>
            </w:pPr>
            <w:r>
              <w:t xml:space="preserve">A federal contract flow-down, or a prime pushing supply chain terms down</w:t>
            </w:r>
          </w:p>
        </w:tc>
        <w:tc>
          <w:tcPr/>
          <w:p>
            <w:pPr>
              <w:pStyle w:val="Compact"/>
            </w:pPr>
            <w:r>
              <w:t xml:space="preserve">Revision 1 published May 2022; update 1 issued 2024-11-01. No Revision 2 exists in any form, draft or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US defense CUI chain: SP 800-171 as pinned by contract, the CMMC program, the DFARS clauses</w:t>
            </w:r>
          </w:p>
        </w:tc>
        <w:tc>
          <w:tcPr/>
          <w:p>
            <w:pPr>
              <w:pStyle w:val="Compact"/>
            </w:pPr>
            <w:r>
              <w:t xml:space="preserve">Depends on the rung: a self-scored assessment, an annual affirmation, a third-party certificate, or a government assessment result</w:t>
            </w:r>
          </w:p>
        </w:tc>
        <w:tc>
          <w:tcPr/>
          <w:p>
            <w:pPr>
              <w:pStyle w:val="Compact"/>
            </w:pPr>
            <w:r>
              <w:t xml:space="preserve">A contracting officer inserting a clause, or a prime flowing it down. Nothing here reaches you on its own</w:t>
            </w:r>
          </w:p>
        </w:tc>
        <w:tc>
          <w:tcPr/>
          <w:p>
            <w:pPr>
              <w:pStyle w:val="Compact"/>
            </w:pPr>
            <w:r>
              <w:t xml:space="preserve">Program rule effective 2024-12-16; acquisition rule effective 2025-11-10; phases beyond the first suspended by policy on 2026-07-13, per secondary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CISA Known Exploited Vulnerabilities catalog, and BOD 26-04</w:t>
            </w:r>
          </w:p>
        </w:tc>
        <w:tc>
          <w:tcPr/>
          <w:p>
            <w:pPr>
              <w:pStyle w:val="Compact"/>
            </w:pPr>
            <w:r>
              <w:t xml:space="preserve">Nothing to a private organization. A directive binds only the agencies it names</w:t>
            </w:r>
          </w:p>
        </w:tc>
        <w:tc>
          <w:tcPr/>
          <w:p>
            <w:pPr>
              <w:pStyle w:val="Compact"/>
            </w:pPr>
            <w:r>
              <w:t xml:space="preserve">Being an agency a directive names, a contract flowing it down, or your own policy adopting the catalog</w:t>
            </w:r>
          </w:p>
        </w:tc>
        <w:tc>
          <w:tcPr/>
          <w:p>
            <w:pPr>
              <w:pStyle w:val="Compact"/>
            </w:pPr>
            <w:r>
              <w:t xml:space="preserve">BOD 26-04, issued 2026-06-10, supersedes and revokes the 2021 and 2019 directives. The catalog itself is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EPSS</w:t>
            </w:r>
          </w:p>
        </w:tc>
        <w:tc>
          <w:tcPr/>
          <w:p>
            <w:pPr>
              <w:pStyle w:val="Compact"/>
            </w:pPr>
            <w:r>
              <w:t xml:space="preserve">A daily probability and percentile per published CVE, for exploitation in the wild within thirty days</w:t>
            </w:r>
          </w:p>
        </w:tc>
        <w:tc>
          <w:tcPr/>
          <w:p>
            <w:pPr>
              <w:pStyle w:val="Compact"/>
            </w:pPr>
            <w:r>
              <w:t xml:space="preserve">A remediation policy that consumes it, or a risk model using exploitation likelihood as an input</w:t>
            </w:r>
          </w:p>
        </w:tc>
        <w:tc>
          <w:tcPr/>
          <w:p>
            <w:pPr>
              <w:pStyle w:val="Compact"/>
            </w:pPr>
            <w:r>
              <w:t xml:space="preserve">Version 4 deployed 2025-03-17; a version 5 was announced 2026-05-13. Which model generates the published scores was not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SAMM v2.0</w:t>
            </w:r>
          </w:p>
        </w:tc>
        <w:tc>
          <w:tcPr/>
          <w:p>
            <w:pPr>
              <w:pStyle w:val="Compact"/>
            </w:pPr>
            <w:r>
              <w:t xml:space="preserve">Nothing. A self-assessed score from 0 to 3 per practice, plus a community Benchmark for comparison</w:t>
            </w:r>
          </w:p>
        </w:tc>
        <w:tc>
          <w:tcPr/>
          <w:p>
            <w:pPr>
              <w:pStyle w:val="Compact"/>
            </w:pPr>
            <w:r>
              <w:t xml:space="preserve">Internal program work, board reporting, or a customer asking how mature your program is</w:t>
            </w:r>
          </w:p>
        </w:tc>
        <w:tc>
          <w:tcPr/>
          <w:p>
            <w:pPr>
              <w:pStyle w:val="Compact"/>
            </w:pPr>
            <w:r>
              <w:t xml:space="preserve">Released February 2020 and still current on 2026-08-06. The Benchmark was first published June 2024</w:t>
            </w:r>
          </w:p>
        </w:tc>
      </w:tr>
    </w:tbl>
    <w:p>
      <w:pPr>
        <w:pStyle w:val="BodyText"/>
      </w:pPr>
      <w:r>
        <w:t xml:space="preserve">Two cautions.</w:t>
      </w:r>
      <w:r>
        <w:t xml:space="preserve"> </w:t>
      </w:r>
      <w:r>
        <w:rPr>
          <w:b/>
          <w:bCs/>
        </w:rPr>
        <w:t xml:space="preserve">A defense-style obligation begins with a clause number, not a publication</w:t>
      </w:r>
      <w:r>
        <w:t xml:space="preserve"> </w:t>
      </w:r>
      <w:r>
        <w:t xml:space="preserve">-- ask</w:t>
      </w:r>
      <w:r>
        <w:t xml:space="preserve"> </w:t>
      </w:r>
      <w:r>
        <w:t xml:space="preserve">which solicitation, which contract and which clause number, and check whether a deviation modifies</w:t>
      </w:r>
      <w:r>
        <w:t xml:space="preserve"> </w:t>
      </w:r>
      <w:r>
        <w:t xml:space="preserve">the clause, because the clause text alone can name the wrong revision. And the release-versus-revision</w:t>
      </w:r>
      <w:r>
        <w:t xml:space="preserve"> </w:t>
      </w:r>
      <w:r>
        <w:t xml:space="preserve">trap in the control catalog, with the producer-versus-operator split that decides who owns a control</w:t>
      </w:r>
      <w:r>
        <w:t xml:space="preserve"> </w:t>
      </w:r>
      <w:r>
        <w:t xml:space="preserve">at all, sits in</w:t>
      </w:r>
      <w:r>
        <w:t xml:space="preserve"> </w:t>
      </w:r>
      <w:hyperlink r:id="rId21">
        <w:r>
          <w:rPr>
            <w:rStyle w:val="Hyperlink"/>
          </w:rPr>
          <w:t xml:space="preserve">Secure development</w:t>
        </w:r>
      </w:hyperlink>
      <w:r>
        <w:t xml:space="preserve"> </w:t>
      </w:r>
      <w:r>
        <w:t xml:space="preserve">rather than here.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ddressed-to-an-assessor"/>
    <w:p>
      <w:pPr>
        <w:pStyle w:val="Heading2"/>
      </w:pPr>
      <w:r>
        <w:t xml:space="preserve">Addressed to an assessor</w:t>
      </w:r>
    </w:p>
    <w:p>
      <w:pPr>
        <w:pStyle w:val="FirstParagraph"/>
      </w:pPr>
      <w:r>
        <w:t xml:space="preserve">Three rows and one lesson: these change what an audit looks like and impose nothing on the audited</w:t>
      </w:r>
      <w:r>
        <w:t xml:space="preserve"> </w:t>
      </w:r>
      <w:r>
        <w:t xml:space="preserve">organization. An unexplained change in audit shape or duration usually starts here rather than in</w:t>
      </w:r>
      <w:r>
        <w:t xml:space="preserve"> </w:t>
      </w:r>
      <w:r>
        <w:t xml:space="preserve">your auditor's temperament.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Whose conduct it governs</w:t>
            </w:r>
          </w:p>
        </w:tc>
        <w:tc>
          <w:tcPr/>
          <w:p>
            <w:pPr>
              <w:pStyle w:val="Compact"/>
            </w:pPr>
            <w:r>
              <w:t xml:space="preserve">How it reaches you</w:t>
            </w:r>
          </w:p>
        </w:tc>
        <w:tc>
          <w:tcPr/>
          <w:p>
            <w:pPr>
              <w:pStyle w:val="Compact"/>
            </w:pPr>
            <w:r>
              <w:t xml:space="preserve">Status (checked 2026-08-06)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27006-1:2024</w:t>
            </w:r>
          </w:p>
        </w:tc>
        <w:tc>
          <w:tcPr/>
          <w:p>
            <w:pPr>
              <w:pStyle w:val="Compact"/>
            </w:pPr>
            <w:r>
              <w:t xml:space="preserve">The certification bodies that audit management systems, and the terms of their accreditation</w:t>
            </w:r>
          </w:p>
        </w:tc>
        <w:tc>
          <w:tcPr/>
          <w:p>
            <w:pPr>
              <w:pStyle w:val="Compact"/>
            </w:pPr>
            <w:r>
              <w:t xml:space="preserve">Through changed audit conduct: refined remote-audit rules and a revised audit-time calculation</w:t>
            </w:r>
          </w:p>
        </w:tc>
        <w:tc>
          <w:tcPr/>
          <w:p>
            <w:pPr>
              <w:pStyle w:val="Compact"/>
            </w:pPr>
            <w:r>
              <w:t xml:space="preserve">Published 2024, replacing the 2015 edition. One accreditation body required use for all clients by 2026-03-31; other bodies may differ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800-53A Rev. 5 (Release 5.2.0)</w:t>
            </w:r>
          </w:p>
        </w:tc>
        <w:tc>
          <w:tcPr/>
          <w:p>
            <w:pPr>
              <w:pStyle w:val="Compact"/>
            </w:pPr>
            <w:r>
              <w:t xml:space="preserve">Whoever assesses a system against a selected control baseline</w:t>
            </w:r>
          </w:p>
        </w:tc>
        <w:tc>
          <w:tcPr/>
          <w:p>
            <w:pPr>
              <w:pStyle w:val="Compact"/>
            </w:pPr>
            <w:r>
              <w:t xml:space="preserve">As the source of the questions an assessor asks about a deployed instance</w:t>
            </w:r>
          </w:p>
        </w:tc>
        <w:tc>
          <w:tcPr/>
          <w:p>
            <w:pPr>
              <w:pStyle w:val="Compact"/>
            </w:pPr>
            <w:r>
              <w:t xml:space="preserve">Release 5.2.0 issued 2025-08-27, adding assessment procedures for three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800-171A Rev. 3 and SP 800-172A Rev. 3</w:t>
            </w:r>
          </w:p>
        </w:tc>
        <w:tc>
          <w:tcPr/>
          <w:p>
            <w:pPr>
              <w:pStyle w:val="Compact"/>
            </w:pPr>
            <w:r>
              <w:t xml:space="preserve">Whoever runs a CUI assessment, whether third party or government</w:t>
            </w:r>
          </w:p>
        </w:tc>
        <w:tc>
          <w:tcPr/>
          <w:p>
            <w:pPr>
              <w:pStyle w:val="Compact"/>
            </w:pPr>
            <w:r>
              <w:t xml:space="preserve">Through an assessment somebody else scopes and runs</w:t>
            </w:r>
          </w:p>
        </w:tc>
        <w:tc>
          <w:tcPr/>
          <w:p>
            <w:pPr>
              <w:pStyle w:val="Compact"/>
            </w:pPr>
            <w:r>
              <w:t xml:space="preserve">800-171A Rev. 3 final 2024-05-14; 800-172A Rev. 3 final 2026-05-13. The defense program rule still names the June 2018 and March 2022 versions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Xec900c179c77a160799081f930559b144a7abc9"/>
    <w:p>
      <w:pPr>
        <w:pStyle w:val="Heading2"/>
      </w:pPr>
      <w:r>
        <w:t xml:space="preserve">Addressed to nobody: infrastructure and vocabulary</w:t>
      </w:r>
    </w:p>
    <w:p>
      <w:pPr>
        <w:pStyle w:val="FirstParagraph"/>
      </w:pPr>
      <w:r>
        <w:t xml:space="preserve">You cannot conform to any of these, and knowing that ends several arguments. They are the vocabulary</w:t>
      </w:r>
      <w:r>
        <w:t xml:space="preserve"> </w:t>
      </w:r>
      <w:r>
        <w:t xml:space="preserve">the rest of the page is written 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it actually gives you</w:t>
            </w:r>
          </w:p>
        </w:tc>
        <w:tc>
          <w:tcPr/>
          <w:p>
            <w:pPr>
              <w:pStyle w:val="Compact"/>
            </w:pPr>
            <w:r>
              <w:t xml:space="preserve">Where you meet it</w:t>
            </w:r>
          </w:p>
        </w:tc>
        <w:tc>
          <w:tcPr/>
          <w:p>
            <w:pPr>
              <w:pStyle w:val="Compact"/>
            </w:pPr>
            <w:r>
              <w:t xml:space="preserve">Status (checked 2026-08-06)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CWE 4.20</w:t>
            </w:r>
          </w:p>
        </w:tc>
        <w:tc>
          <w:tcPr/>
          <w:p>
            <w:pPr>
              <w:pStyle w:val="Compact"/>
            </w:pPr>
            <w:r>
              <w:t xml:space="preserve">An identifier for a class of mistake. Not a severity and not a priority</w:t>
            </w:r>
          </w:p>
        </w:tc>
        <w:tc>
          <w:tcPr/>
          <w:p>
            <w:pPr>
              <w:pStyle w:val="Compact"/>
            </w:pPr>
            <w:r>
              <w:t xml:space="preserve">Tool output, vulnerability records that map to it, and contracts asking for findings with mappings</w:t>
            </w:r>
          </w:p>
        </w:tc>
        <w:tc>
          <w:tcPr/>
          <w:p>
            <w:pPr>
              <w:pStyle w:val="Compact"/>
            </w:pPr>
            <w:r>
              <w:t xml:space="preserve">Version 4.20 released 2026-04-30, on a continuing versioned release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Program</w:t>
            </w:r>
          </w:p>
        </w:tc>
        <w:tc>
          <w:tcPr/>
          <w:p>
            <w:pPr>
              <w:pStyle w:val="Compact"/>
            </w:pPr>
            <w:r>
              <w:t xml:space="preserve">Identifiers and records. Not severity, not exploitability, not priority</w:t>
            </w:r>
          </w:p>
        </w:tc>
        <w:tc>
          <w:tcPr/>
          <w:p>
            <w:pPr>
              <w:pStyle w:val="Compact"/>
            </w:pPr>
            <w:r>
              <w:t xml:space="preserve">Every dependency policy and every scanner</w:t>
            </w:r>
          </w:p>
        </w:tc>
        <w:tc>
          <w:tcPr/>
          <w:p>
            <w:pPr>
              <w:pStyle w:val="Compact"/>
            </w:pPr>
            <w:r>
              <w:t xml:space="preserve">Operating. The 2025 contract lapse was averted by an extension, and the program board was told on 2026-01-21 there is no funding cliff in March. Replacement terms are not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SBOM formats: SPDX (ISO/IEC 5962:2021) and CycloneDX (ECMA-424, 2nd edition)</w:t>
            </w:r>
          </w:p>
        </w:tc>
        <w:tc>
          <w:tcPr/>
          <w:p>
            <w:pPr>
              <w:pStyle w:val="Compact"/>
            </w:pPr>
            <w:r>
              <w:t xml:space="preserve">A machine-readable document a parser accepts. No conformance mark exists for either</w:t>
            </w:r>
          </w:p>
        </w:tc>
        <w:tc>
          <w:tcPr/>
          <w:p>
            <w:pPr>
              <w:pStyle w:val="Compact"/>
            </w:pPr>
            <w:r>
              <w:t xml:space="preserve">A customer or a regime asking for an SBOM in a commonly used machine-readable format</w:t>
            </w:r>
          </w:p>
        </w:tc>
        <w:tc>
          <w:tcPr/>
          <w:p>
            <w:pPr>
              <w:pStyle w:val="Compact"/>
            </w:pPr>
            <w:r>
              <w:t xml:space="preserve">ISO/IEC 5962:2021 describes SPDX 2.2.1, which current tooling has moved past; SPDX 3.0 sat at draft stage on 2026-08-06. ECMA-424 2nd edition was adopted December 2025 and defines CycloneDX v1.7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25010:2023</w:t>
            </w:r>
          </w:p>
        </w:tc>
        <w:tc>
          <w:tcPr/>
          <w:p>
            <w:pPr>
              <w:pStyle w:val="Compact"/>
            </w:pPr>
            <w:r>
              <w:t xml:space="preserve">A vocabulary of quality characteristics. It states no requirement a product could meet or fail</w:t>
            </w:r>
          </w:p>
        </w:tc>
        <w:tc>
          <w:tcPr/>
          <w:p>
            <w:pPr>
              <w:pStyle w:val="Compact"/>
            </w:pPr>
            <w:r>
              <w:t xml:space="preserve">Requirements documents and procurement specifications that need both parties to mean the same thing</w:t>
            </w:r>
          </w:p>
        </w:tc>
        <w:tc>
          <w:tcPr/>
          <w:p>
            <w:pPr>
              <w:pStyle w:val="Compact"/>
            </w:pPr>
            <w:r>
              <w:t xml:space="preserve">Second edition published November 2023, cancelling and replacing the 2011 edition. Usability and portability no longer exist as top-level names</w:t>
            </w:r>
          </w:p>
        </w:tc>
      </w:tr>
    </w:tbl>
    <w:p>
      <w:pPr>
        <w:pStyle w:val="BodyText"/>
      </w:pPr>
      <w:r>
        <w:t xml:space="preserve">Three errors follow from treating these as requirements.</w:t>
      </w:r>
      <w:r>
        <w:t xml:space="preserve"> </w:t>
      </w:r>
      <w:r>
        <w:rPr>
          <w:b/>
          <w:bCs/>
        </w:rPr>
        <w:t xml:space="preserve">A weakness identifier is not a severity</w:t>
      </w:r>
      <w:r>
        <w:t xml:space="preserve">:</w:t>
      </w:r>
      <w:r>
        <w:t xml:space="preserve"> </w:t>
      </w:r>
      <w:r>
        <w:t xml:space="preserve">it says what kind of mistake a finding is, not whether it matters where you run.</w:t>
      </w:r>
      <w:r>
        <w:t xml:space="preserve"> </w:t>
      </w:r>
      <w:r>
        <w:rPr>
          <w:b/>
          <w:bCs/>
        </w:rPr>
        <w:t xml:space="preserve">No published</w:t>
      </w:r>
      <w:r>
        <w:rPr>
          <w:b/>
          <w:bCs/>
        </w:rPr>
        <w:t xml:space="preserve"> </w:t>
      </w:r>
      <w:r>
        <w:rPr>
          <w:b/>
          <w:bCs/>
        </w:rPr>
        <w:t xml:space="preserve">vulnerability identifiers is not a security property</w:t>
      </w:r>
      <w:r>
        <w:t xml:space="preserve">: it can equally mean nobody is looking, or</w:t>
      </w:r>
      <w:r>
        <w:t xml:space="preserve"> </w:t>
      </w:r>
      <w:r>
        <w:t xml:space="preserve">that there is no route to publish one.</w:t>
      </w:r>
      <w:r>
        <w:t xml:space="preserve"> </w:t>
      </w:r>
      <w:r>
        <w:rPr>
          <w:b/>
          <w:bCs/>
        </w:rPr>
        <w:t xml:space="preserve">A format's standards-body lineage is not a compliance</w:t>
      </w:r>
      <w:r>
        <w:rPr>
          <w:b/>
          <w:bCs/>
        </w:rPr>
        <w:t xml:space="preserve"> </w:t>
      </w:r>
      <w:r>
        <w:rPr>
          <w:b/>
          <w:bCs/>
        </w:rPr>
        <w:t xml:space="preserve">grade</w:t>
      </w:r>
      <w:r>
        <w:t xml:space="preserve">: the widely quoted ISO number attaches to a 2021-era version of one format, so choosing on</w:t>
      </w:r>
      <w:r>
        <w:t xml:space="preserve"> </w:t>
      </w:r>
      <w:r>
        <w:t xml:space="preserve">lineage answers a question nobody in the transaction asked.</w:t>
      </w:r>
      <w:r>
        <w:t xml:space="preserve"> </w:t>
      </w:r>
      <w:hyperlink r:id="rId25">
        <w:r>
          <w:rPr>
            <w:rStyle w:val="Hyperlink"/>
          </w:rPr>
          <w:t xml:space="preserve">Code quality</w:t>
        </w:r>
      </w:hyperlink>
      <w:r>
        <w:t xml:space="preserve"> </w:t>
      </w:r>
      <w:r>
        <w:t xml:space="preserve">already</w:t>
      </w:r>
      <w:r>
        <w:t xml:space="preserve"> </w:t>
      </w:r>
      <w:r>
        <w:t xml:space="preserve">cites the current edition of the product quality model for its own purposes.</w:t>
      </w:r>
    </w:p>
    <w:p>
      <w:r>
        <w:pict>
          <v:rect style="width:0;height:1.5pt" o:hralign="center" o:hrstd="t" o:hr="t"/>
        </w:pict>
      </w:r>
    </w:p>
    <w:bookmarkEnd w:id="26"/>
    <w:bookmarkStart w:id="27" w:name="how-these-actually-reach-you"/>
    <w:p>
      <w:pPr>
        <w:pStyle w:val="Heading2"/>
      </w:pPr>
      <w:r>
        <w:t xml:space="preserve">How these actually reach you</w:t>
      </w:r>
    </w:p>
    <w:p>
      <w:pPr>
        <w:pStyle w:val="FirstParagraph"/>
      </w:pPr>
      <w:r>
        <w:t xml:space="preserve">At least five routes. This is the section that decides where budget and ownership land, because the</w:t>
      </w:r>
      <w:r>
        <w:t xml:space="preserve"> </w:t>
      </w:r>
      <w:r>
        <w:t xml:space="preserve">route determines the owner far more reliably than the subject does.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 in</w:t>
            </w:r>
          </w:p>
        </w:tc>
        <w:tc>
          <w:tcPr/>
          <w:p>
            <w:pPr>
              <w:pStyle w:val="Compact"/>
            </w:pPr>
            <w:r>
              <w:t xml:space="preserve">What it looks like on the day</w:t>
            </w:r>
          </w:p>
        </w:tc>
        <w:tc>
          <w:tcPr/>
          <w:p>
            <w:pPr>
              <w:pStyle w:val="Compact"/>
            </w:pPr>
            <w:r>
              <w:t xml:space="preserve">What actually governs</w:t>
            </w:r>
          </w:p>
        </w:tc>
        <w:tc>
          <w:tcPr/>
          <w:p>
            <w:pPr>
              <w:pStyle w:val="Compact"/>
            </w:pPr>
            <w:r>
              <w:t xml:space="preserve">Who owns the response internally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binding on a producer</w:t>
            </w:r>
          </w:p>
        </w:tc>
        <w:tc>
          <w:tcPr/>
          <w:p>
            <w:pPr>
              <w:pStyle w:val="Compact"/>
            </w:pPr>
            <w:r>
              <w:t xml:space="preserve">A market-access rule you satisfy before you ship, with no customer asking</w:t>
            </w:r>
          </w:p>
        </w:tc>
        <w:tc>
          <w:tcPr/>
          <w:p>
            <w:pPr>
              <w:pStyle w:val="Compact"/>
            </w:pPr>
            <w:r>
              <w:t xml:space="preserve">The regulation and the conformity route it sets</w:t>
            </w:r>
          </w:p>
        </w:tc>
        <w:tc>
          <w:tcPr/>
          <w:p>
            <w:pPr>
              <w:pStyle w:val="Compact"/>
            </w:pPr>
            <w:r>
              <w:t xml:space="preserve">Engineering and release, not the compliance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clause in one specific contract, or a flow-down from a prime</w:t>
            </w:r>
          </w:p>
        </w:tc>
        <w:tc>
          <w:tcPr/>
          <w:p>
            <w:pPr>
              <w:pStyle w:val="Compact"/>
            </w:pPr>
            <w:r>
              <w:t xml:space="preserve">A clause number in a solicitation or an award</w:t>
            </w:r>
          </w:p>
        </w:tc>
        <w:tc>
          <w:tcPr/>
          <w:p>
            <w:pPr>
              <w:pStyle w:val="Compact"/>
            </w:pPr>
            <w:r>
              <w:t xml:space="preserve">The clause text, plus any deviation that modifies it. Not the publication it cites</w:t>
            </w:r>
          </w:p>
        </w:tc>
        <w:tc>
          <w:tcPr/>
          <w:p>
            <w:pPr>
              <w:pStyle w:val="Compact"/>
            </w:pPr>
            <w:r>
              <w:t xml:space="preserve">Contracts, with security supplying the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supplier-risk clause inside somebody else's regime (the questionnaire)</w:t>
            </w:r>
          </w:p>
        </w:tc>
        <w:tc>
          <w:tcPr/>
          <w:p>
            <w:pPr>
              <w:pStyle w:val="Compact"/>
            </w:pPr>
            <w:r>
              <w:t xml:space="preserve">A spreadsheet quoting identifiers drawn from several unrelated documents</w:t>
            </w:r>
          </w:p>
        </w:tc>
        <w:tc>
          <w:tcPr/>
          <w:p>
            <w:pPr>
              <w:pStyle w:val="Compact"/>
            </w:pPr>
            <w:r>
              <w:t xml:space="preserve">Their obligation, not yours. It never binds you; it obliges them to ask</w:t>
            </w:r>
          </w:p>
        </w:tc>
        <w:tc>
          <w:tcPr/>
          <w:p>
            <w:pPr>
              <w:pStyle w:val="Compact"/>
            </w:pPr>
            <w:r>
              <w:t xml:space="preserve">Security with sales, and it is the largest recurring cost in this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procurement or payment-chain agreement</w:t>
            </w:r>
          </w:p>
        </w:tc>
        <w:tc>
          <w:tcPr/>
          <w:p>
            <w:pPr>
              <w:pStyle w:val="Compact"/>
            </w:pPr>
            <w:r>
              <w:t xml:space="preserve">A program status or a validation requirement as a condition of the deal</w:t>
            </w:r>
          </w:p>
        </w:tc>
        <w:tc>
          <w:tcPr/>
          <w:p>
            <w:pPr>
              <w:pStyle w:val="Compact"/>
            </w:pPr>
            <w:r>
              <w:t xml:space="preserve">The program's or the counterparty's own rules, which may not be the standard author's</w:t>
            </w:r>
          </w:p>
        </w:tc>
        <w:tc>
          <w:tcPr/>
          <w:p>
            <w:pPr>
              <w:pStyle w:val="Compact"/>
            </w:pPr>
            <w:r>
              <w:t xml:space="preserve">The program owner, usually outside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own risk decision</w:t>
            </w:r>
          </w:p>
        </w:tc>
        <w:tc>
          <w:tcPr/>
          <w:p>
            <w:pPr>
              <w:pStyle w:val="Compact"/>
            </w:pPr>
            <w:r>
              <w:t xml:space="preserve">Nobody asked. You adopted it</w:t>
            </w:r>
          </w:p>
        </w:tc>
        <w:tc>
          <w:tcPr/>
          <w:p>
            <w:pPr>
              <w:pStyle w:val="Compact"/>
            </w:pPr>
            <w:r>
              <w:t xml:space="preserve">Your own written scope, and nothing else</w:t>
            </w:r>
          </w:p>
        </w:tc>
        <w:tc>
          <w:tcPr/>
          <w:p>
            <w:pPr>
              <w:pStyle w:val="Compact"/>
            </w:pPr>
            <w:r>
              <w:t xml:space="preserve">Whoever proposed it, and that should be written 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why-every-status-here-carries-a-date"/>
    <w:p>
      <w:pPr>
        <w:pStyle w:val="Heading2"/>
      </w:pPr>
      <w:r>
        <w:t xml:space="preserve">Why every status here carries a date</w:t>
      </w:r>
    </w:p>
    <w:p>
      <w:pPr>
        <w:pStyle w:val="FirstParagraph"/>
      </w:pPr>
      <w:r>
        <w:t xml:space="preserve">Staleness takes four shapes. Naming them is worth more than any individual fact below, because you</w:t>
      </w:r>
      <w:r>
        <w:t xml:space="preserve"> </w:t>
      </w:r>
      <w:r>
        <w:t xml:space="preserve">will meet a fifth.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mandate rescinded while its artifacts survive.</w:t>
      </w:r>
      <w:r>
        <w:t xml:space="preserve"> </w:t>
      </w:r>
      <w:r>
        <w:t xml:space="preserve">The instruction goes; the form, the signature</w:t>
      </w:r>
      <w:r>
        <w:t xml:space="preserve"> </w:t>
      </w:r>
      <w:r>
        <w:t xml:space="preserve">and any standing duty attached to it do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draft cited as though final.</w:t>
      </w:r>
      <w:r>
        <w:t xml:space="preserve"> </w:t>
      </w:r>
      <w:r>
        <w:t xml:space="preserve">The most common shape and the hardest to see, because a draft</w:t>
      </w:r>
      <w:r>
        <w:t xml:space="preserve"> </w:t>
      </w:r>
      <w:r>
        <w:t xml:space="preserve">and a final look identical once quoted in a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published version that is not the version being audited.</w:t>
      </w:r>
      <w:r>
        <w:t xml:space="preserve"> </w:t>
      </w:r>
      <w:r>
        <w:t xml:space="preserve">The newest file on a publisher's</w:t>
      </w:r>
      <w:r>
        <w:t xml:space="preserve"> </w:t>
      </w:r>
      <w:r>
        <w:t xml:space="preserve">site is not automatically the assessment baseline.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rename.</w:t>
      </w:r>
      <w:r>
        <w:t xml:space="preserve"> </w:t>
      </w:r>
      <w:r>
        <w:t xml:space="preserve">Search stops working, and both names are often legitimately live at once.</w:t>
      </w:r>
    </w:p>
    <w:p>
      <w:pPr>
        <w:pStyle w:val="FirstParagraph"/>
      </w:pPr>
      <w:r>
        <w:t xml:space="preserve">The worked example is the federal software attestation story, told as one event when it was two,</w:t>
      </w:r>
      <w:r>
        <w:t xml:space="preserve"> </w:t>
      </w:r>
      <w:r>
        <w:t xml:space="preserve">seven months apart. EO 14028 (2021) directed the guidance. OMB M-22-18 and M-23-16 turned it into a</w:t>
      </w:r>
      <w:r>
        <w:t xml:space="preserve"> </w:t>
      </w:r>
      <w:r>
        <w:t xml:space="preserve">collection requirement. EO 14144 (January 2025) would have added submission to a repository, central</w:t>
      </w:r>
      <w:r>
        <w:t xml:space="preserve"> </w:t>
      </w:r>
      <w:r>
        <w:t xml:space="preserve">verification and referral of failures -- and EO 14306, on 2025-06-06, struck that apparatus. Then OMB</w:t>
      </w:r>
      <w:r>
        <w:t xml:space="preserve"> </w:t>
      </w:r>
      <w:r>
        <w:t xml:space="preserve">M-26-05, on 2026-01-23, rescinded the collection mandate itself. Anyone describing a single January</w:t>
      </w:r>
      <w:r>
        <w:t xml:space="preserve"> </w:t>
      </w:r>
      <w:r>
        <w:t xml:space="preserve">2026 event has lost the fact that the verification model was already gone in mid-2025. The status of</w:t>
      </w:r>
      <w:r>
        <w:t xml:space="preserve"> </w:t>
      </w:r>
      <w:r>
        <w:t xml:space="preserve">the federal repository that received submissions is unknown as of 2026-08-06: not reported running,</w:t>
      </w:r>
      <w:r>
        <w:t xml:space="preserve"> </w:t>
      </w:r>
      <w:r>
        <w:t xml:space="preserve">not reported gone. And a signed self-attestation is a different instrument from a certificate --</w:t>
      </w:r>
      <w:r>
        <w:t xml:space="preserve"> </w:t>
      </w:r>
      <w:r>
        <w:t xml:space="preserve">rescinding the instruction that prompted a signature is prospective, and unsigns nothing.</w:t>
      </w:r>
    </w:p>
    <w:p>
      <w:pPr>
        <w:pStyle w:val="BodyText"/>
      </w:pPr>
      <w:r>
        <w:t xml:space="preserve">The second worked example is shape two: the draft successor to the secure software development</w:t>
      </w:r>
      <w:r>
        <w:t xml:space="preserve"> </w:t>
      </w:r>
      <w:r>
        <w:t xml:space="preserve">framework has been cited as the current framework since December 2025, while remaining a draft past</w:t>
      </w:r>
      <w:r>
        <w:t xml:space="preserve"> </w:t>
      </w:r>
      <w:r>
        <w:t xml:space="preserve">its own executive-order clock.</w:t>
      </w:r>
    </w:p>
    <w:p>
      <w:pPr>
        <w:pStyle w:val="BodyText"/>
      </w:pPr>
      <w:r>
        <w:rPr>
          <w:b/>
          <w:bCs/>
        </w:rPr>
        <w:t xml:space="preserve">The instrument check.</w:t>
      </w:r>
      <w:r>
        <w:t xml:space="preserve"> </w:t>
      </w:r>
      <w:r>
        <w:t xml:space="preserve">What binds you is a clause, and a clause pins a dated version. So "use the</w:t>
      </w:r>
      <w:r>
        <w:t xml:space="preserve"> </w:t>
      </w:r>
      <w:r>
        <w:t xml:space="preserve">current publication" is frequently the wrong instruction: a regulation citing a publication by date</w:t>
      </w:r>
      <w:r>
        <w:t xml:space="preserve"> </w:t>
      </w:r>
      <w:r>
        <w:t xml:space="preserve">keeps citing it after the publisher supersedes it, which is how a rule stays stable rather than an</w:t>
      </w:r>
      <w:r>
        <w:t xml:space="preserve"> </w:t>
      </w:r>
      <w:r>
        <w:t xml:space="preserve">error in it. It is also why no identifier here appears without its version, revision, edition or</w:t>
      </w:r>
      <w:r>
        <w:t xml:space="preserve"> </w:t>
      </w:r>
      <w:r>
        <w:t xml:space="preserve">release -- a bare identifier resolves differently depending on when and where you look it up.</w:t>
      </w:r>
      <w:r>
        <w:t xml:space="preserve"> </w:t>
      </w:r>
      <w:hyperlink r:id="rId28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assessment method page</w:t>
        </w:r>
      </w:hyperlink>
      <w:r>
        <w:t xml:space="preserve"> </w:t>
      </w:r>
      <w:r>
        <w:t xml:space="preserve">covers pinning a standard's corpus so it cannot shift</w:t>
      </w:r>
      <w:r>
        <w:t xml:space="preserve"> </w:t>
      </w:r>
      <w:r>
        <w:t xml:space="preserve">underneath an assessment already in progress.</w:t>
      </w:r>
    </w:p>
    <w:p>
      <w:r>
        <w:pict>
          <v:rect style="width:0;height:1.5pt" o:hralign="center" o:hrstd="t" o:hr="t"/>
        </w:pict>
      </w:r>
    </w:p>
    <w:bookmarkEnd w:id="29"/>
    <w:bookmarkStart w:id="30" w:name="Xd07a5dba652e7af822e7b032ac09a3e93cc331c"/>
    <w:p>
      <w:pPr>
        <w:pStyle w:val="Heading2"/>
      </w:pPr>
      <w:r>
        <w:t xml:space="preserve">Stale advice, and how to catch it yourself</w:t>
      </w:r>
    </w:p>
    <w:p>
      <w:pPr>
        <w:pStyle w:val="FirstParagraph"/>
      </w:pPr>
      <w:r>
        <w:t xml:space="preserve">Each row below is one of the four shapes above. Column three names a check you can run without</w:t>
      </w:r>
      <w:r>
        <w:t xml:space="preserve"> </w:t>
      </w:r>
      <w:r>
        <w:t xml:space="preserve">trusting this page.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a policy, questionnaire or roadmap still says this</w:t>
            </w:r>
          </w:p>
        </w:tc>
        <w:tc>
          <w:tcPr/>
          <w:p>
            <w:pPr>
              <w:pStyle w:val="Compact"/>
            </w:pPr>
            <w:r>
              <w:t xml:space="preserve">As of 2026-08-06</w:t>
            </w:r>
          </w:p>
        </w:tc>
        <w:tc>
          <w:tcPr/>
          <w:p>
            <w:pPr>
              <w:pStyle w:val="Compact"/>
            </w:pPr>
            <w:r>
              <w:t xml:space="preserve">The check you can run yourself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"Sign the federal attestation form to sell software to the US government"</w:t>
            </w:r>
          </w:p>
        </w:tc>
        <w:tc>
          <w:tcPr/>
          <w:p>
            <w:pPr>
              <w:pStyle w:val="Compact"/>
            </w:pPr>
            <w:r>
              <w:t xml:space="preserve">The memoranda requiring agencies to collect it were rescinded on 2026-01-23. Agencies may still ask; none must</w:t>
            </w:r>
          </w:p>
        </w:tc>
        <w:tc>
          <w:tcPr/>
          <w:p>
            <w:pPr>
              <w:pStyle w:val="Compact"/>
            </w:pPr>
            <w:r>
              <w:t xml:space="preserve">Read the rescinding memorandum at the publisher, then read your own contract's clauses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"Map controls to the current SSDF, or to SSDF 1.2"</w:t>
            </w:r>
          </w:p>
        </w:tc>
        <w:tc>
          <w:tcPr/>
          <w:p>
            <w:pPr>
              <w:pStyle w:val="Compact"/>
            </w:pPr>
            <w:r>
              <w:t xml:space="preserve">v1.1 of 2022 is the only final version. The successor has been a draft since 2025-12-17</w:t>
            </w:r>
          </w:p>
        </w:tc>
        <w:tc>
          <w:tcPr/>
          <w:p>
            <w:pPr>
              <w:pStyle w:val="Compact"/>
            </w:pPr>
            <w:r>
              <w:t xml:space="preserve">The publisher's own publications listing shows Final against one and Draft against the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"SP 800-218A is the NIST guidance for developers using AI coding assistants"</w:t>
            </w:r>
          </w:p>
        </w:tc>
        <w:tc>
          <w:tcPr/>
          <w:p>
            <w:pPr>
              <w:pStyle w:val="Compact"/>
            </w:pPr>
            <w:r>
              <w:t xml:space="preserve">Its declared scope is producing AI models. Its single sentence on assisted code says the practices do not distinguish it from human-written code</w:t>
            </w:r>
          </w:p>
        </w:tc>
        <w:tc>
          <w:tcPr/>
          <w:p>
            <w:pPr>
              <w:pStyle w:val="Compact"/>
            </w:pPr>
            <w:r>
              <w:t xml:space="preserve">Search the publication for that sentence. It is the whole of the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"Defense work has to move to SP 800-171 Revision 3"</w:t>
            </w:r>
          </w:p>
        </w:tc>
        <w:tc>
          <w:tcPr/>
          <w:p>
            <w:pPr>
              <w:pStyle w:val="Compact"/>
            </w:pPr>
            <w:r>
              <w:t xml:space="preserve">A class deviation issued 2024-05-02 pins the safeguarding clause to Revision 2 and stands until rescinded, per secondary reporting</w:t>
            </w:r>
          </w:p>
        </w:tc>
        <w:tc>
          <w:tcPr/>
          <w:p>
            <w:pPr>
              <w:pStyle w:val="Compact"/>
            </w:pPr>
            <w:r>
              <w:t xml:space="preserve">Read the clause, then ask whether a deviation modifies it. The clause text alone gives the wrong 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"Third-party CMMC certification becomes a condition of award in November 2026"</w:t>
            </w:r>
          </w:p>
        </w:tc>
        <w:tc>
          <w:tcPr/>
          <w:p>
            <w:pPr>
              <w:pStyle w:val="Compact"/>
            </w:pPr>
            <w:r>
              <w:t xml:space="preserve">Phase 2 and later milestones were suspended by policy on 2026-07-13, per secondary reporting. Neither rule was amended or repealed</w:t>
            </w:r>
          </w:p>
        </w:tc>
        <w:tc>
          <w:tcPr/>
          <w:p>
            <w:pPr>
              <w:pStyle w:val="Compact"/>
            </w:pPr>
            <w:r>
              <w:t xml:space="preserve">Ask the contracting officer which level the solicitation requires, and check the rulemaking index for anything after the acquisition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"Catalog inclusion means a fixed federal patch deadline"</w:t>
            </w:r>
          </w:p>
        </w:tc>
        <w:tc>
          <w:tcPr/>
          <w:p>
            <w:pPr>
              <w:pStyle w:val="Compact"/>
            </w:pPr>
            <w:r>
              <w:t xml:space="preserve">The directive setting flat due dates was revoked on 2026-06-10 and replaced by a risk model. The catalog is unchanged</w:t>
            </w:r>
          </w:p>
        </w:tc>
        <w:tc>
          <w:tcPr/>
          <w:p>
            <w:pPr>
              <w:pStyle w:val="Compact"/>
            </w:pPr>
            <w:r>
              <w:t xml:space="preserve">The revoked directive's own page is titled as revoked; read the current one for the model that replaced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"A 2013-edition ISO/IEC 27001 certificate is on file for this supplier"</w:t>
            </w:r>
          </w:p>
        </w:tc>
        <w:tc>
          <w:tcPr/>
          <w:p>
            <w:pPr>
              <w:pStyle w:val="Compact"/>
            </w:pPr>
            <w:r>
              <w:t xml:space="preserve">The transition period ended 2025-10-31, per secondary reporting, so a 2013-based certificate is no longer current</w:t>
            </w:r>
          </w:p>
        </w:tc>
        <w:tc>
          <w:tcPr/>
          <w:p>
            <w:pPr>
              <w:pStyle w:val="Compact"/>
            </w:pPr>
            <w:r>
              <w:t xml:space="preserve">Read the certificate's edition, scope and expiry, and check the issuing body's accreditation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"We are working toward PCI DSS 4.0, and the future-dated requirements are still future"</w:t>
            </w:r>
          </w:p>
        </w:tc>
        <w:tc>
          <w:tcPr/>
          <w:p>
            <w:pPr>
              <w:pStyle w:val="Compact"/>
            </w:pPr>
            <w:r>
              <w:t xml:space="preserve">v4.0 retired 2024-12-31, leaving v4.0.1. The future-dated requirements became mandatory 2025-03-31</w:t>
            </w:r>
          </w:p>
        </w:tc>
        <w:tc>
          <w:tcPr/>
          <w:p>
            <w:pPr>
              <w:pStyle w:val="Compact"/>
            </w:pPr>
            <w:r>
              <w:t xml:space="preserve">The council's own document library shows the supported version; your acquirer sets your validation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"FedRAMP is an authorization not a certification, at low, moderate or high, via the JAB or an agency"</w:t>
            </w:r>
          </w:p>
        </w:tc>
        <w:tc>
          <w:tcPr/>
          <w:p>
            <w:pPr>
              <w:pStyle w:val="Compact"/>
            </w:pPr>
            <w:r>
              <w:t xml:space="preserve">The program uses certification vocabulary and lettered classes, and the board that granted provisional authorizations no longer does so</w:t>
            </w:r>
          </w:p>
        </w:tc>
        <w:tc>
          <w:tcPr/>
          <w:p>
            <w:pPr>
              <w:pStyle w:val="Compact"/>
            </w:pPr>
            <w:r>
              <w:t xml:space="preserve">The program's own definitions page. Delivering the old correction now makes you the out-of-date party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"Ask the supplier for their StateRAMP status"</w:t>
            </w:r>
          </w:p>
        </w:tc>
        <w:tc>
          <w:tcPr/>
          <w:p>
            <w:pPr>
              <w:pStyle w:val="Compact"/>
            </w:pPr>
            <w:r>
              <w:t xml:space="preserve">The program has operated as GovRAMP since 2025-02-14, while StateRAMP remains the legal entity name. Both are live</w:t>
            </w:r>
          </w:p>
        </w:tc>
        <w:tc>
          <w:tcPr/>
          <w:p>
            <w:pPr>
              <w:pStyle w:val="Compact"/>
            </w:pPr>
            <w:r>
              <w:t xml:space="preserve">The program's own site, and the participant listing it publishes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"Generate SBOMs to the NTIA 2021 minimum elements, and prefer SPDX because it is the ISO standard"</w:t>
            </w:r>
          </w:p>
        </w:tc>
        <w:tc>
          <w:tcPr/>
          <w:p>
            <w:pPr>
              <w:pStyle w:val="Compact"/>
            </w:pPr>
            <w:r>
              <w:t xml:space="preserve">The 2021 elements were replaced on 2026-07-29. The ISO number attaches to a 2021-era version of that format, not to what current tooling emits</w:t>
            </w:r>
          </w:p>
        </w:tc>
        <w:tc>
          <w:tcPr/>
          <w:p>
            <w:pPr>
              <w:pStyle w:val="Compact"/>
            </w:pPr>
            <w:r>
              <w:t xml:space="preserve">Read the 2026 document, which is freely published, and read the ISO catalog entry for the version it actually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"Require SLSA Level 4"</w:t>
            </w:r>
          </w:p>
        </w:tc>
        <w:tc>
          <w:tcPr/>
          <w:p>
            <w:pPr>
              <w:pStyle w:val="Compact"/>
            </w:pPr>
            <w:r>
              <w:t xml:space="preserve">There is no Build L4. Since v1.2 there is a Source L4, so a bare level number no longer identifies a requirement</w:t>
            </w:r>
          </w:p>
        </w:tc>
        <w:tc>
          <w:tcPr/>
          <w:p>
            <w:pPr>
              <w:pStyle w:val="Compact"/>
            </w:pPr>
            <w:r>
              <w:t xml:space="preserve">The specification's own track pages. Write the track beside the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"SP 800-122 was withdrawn, SP 800-161 Revision 2 is out, and ISO 25010 usability is a characteristic"</w:t>
            </w:r>
          </w:p>
        </w:tc>
        <w:tc>
          <w:tcPr/>
          <w:p>
            <w:pPr>
              <w:pStyle w:val="Compact"/>
            </w:pPr>
            <w:r>
              <w:t xml:space="preserve">SP 800-122 is still Final; its withdrawal exists only as intent inside an unfinished working draft. There is no 800-161 Rev. 2. Usability was replaced in the 2023 edition</w:t>
            </w:r>
          </w:p>
        </w:tc>
        <w:tc>
          <w:tcPr/>
          <w:p>
            <w:pPr>
              <w:pStyle w:val="Compact"/>
            </w:pPr>
            <w:r>
              <w:t xml:space="preserve">Each publication's own record page shows status and date. The 2024-11-01 date people cite is an update to Revision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f419bb31d4316203dd4fd5a9c399af24e8e654b"/>
    <w:p>
      <w:pPr>
        <w:pStyle w:val="Heading2"/>
      </w:pPr>
      <w:r>
        <w:t xml:space="preserve">Where an AI coding assistant sits in all this</w:t>
      </w:r>
    </w:p>
    <w:p>
      <w:pPr>
        <w:pStyle w:val="FirstParagraph"/>
      </w:pPr>
      <w:r>
        <w:rPr>
          <w:b/>
          <w:bCs/>
        </w:rPr>
        <w:t xml:space="preserve">Nothing mapped on this page currently governs a developer using an AI coding assistant.</w:t>
      </w:r>
      <w:r>
        <w:t xml:space="preserve"> </w:t>
      </w:r>
      <w:r>
        <w:t xml:space="preserve">That is a</w:t>
      </w:r>
      <w:r>
        <w:t xml:space="preserve"> </w:t>
      </w:r>
      <w:r>
        <w:t xml:space="preserve">finding about the landscape, stated as an absence rather than as a gap somebody has filled.</w:t>
      </w:r>
    </w:p>
    <w:p>
      <w:pPr>
        <w:pStyle w:val="BodyText"/>
      </w:pPr>
      <w:r>
        <w:t xml:space="preserve">Three documents are routinely misfiled as doing so: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SSDF community profile for AI models</w:t>
      </w:r>
      <w:r>
        <w:t xml:space="preserve"> </w:t>
      </w:r>
      <w:r>
        <w:t xml:space="preserve">addresses producing models: data sourcing, training,</w:t>
      </w:r>
      <w:r>
        <w:t xml:space="preserve"> </w:t>
      </w:r>
      <w:r>
        <w:t xml:space="preserve">fine-tuning, evaluation. Its one sentence on the subject says the practices do not distinguish</w:t>
      </w:r>
      <w:r>
        <w:t xml:space="preserve"> </w:t>
      </w:r>
      <w:r>
        <w:t xml:space="preserve">AI-generated source code from human-written code, which is a scoping exclusion rather than</w:t>
      </w:r>
      <w:r>
        <w:t xml:space="preserve"> </w:t>
      </w:r>
      <w:r>
        <w:t xml:space="preserve">guidance.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LLM application ranking</w:t>
      </w:r>
      <w:r>
        <w:t xml:space="preserve"> </w:t>
      </w:r>
      <w:r>
        <w:t xml:space="preserve">addresses securing an application that calls a language model at</w:t>
      </w:r>
      <w:r>
        <w:t xml:space="preserve"> </w:t>
      </w:r>
      <w:r>
        <w:t xml:space="preserve">run time. That is a different subject from governing what an assistant writes for you, and the two</w:t>
      </w:r>
      <w:r>
        <w:t xml:space="preserve"> </w:t>
      </w:r>
      <w:r>
        <w:t xml:space="preserve">are conflated constantly.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NIST control overlays for securing AI systems</w:t>
      </w:r>
      <w:r>
        <w:t xml:space="preserve"> </w:t>
      </w:r>
      <w:r>
        <w:t xml:space="preserve">are in development, with no draft overlay</w:t>
      </w:r>
      <w:r>
        <w:t xml:space="preserve"> </w:t>
      </w:r>
      <w:r>
        <w:t xml:space="preserve">published as of 2026-08-06, so nothing can be aligned with them today.</w:t>
      </w:r>
    </w:p>
    <w:p>
      <w:pPr>
        <w:pStyle w:val="FirstParagraph"/>
      </w:pPr>
      <w:r>
        <w:t xml:space="preserve">No claim is made here that anything published on this site fills that gap.</w:t>
      </w:r>
    </w:p>
    <w:p>
      <w:r>
        <w:pict>
          <v:rect style="width:0;height:1.5pt" o:hralign="center" o:hrstd="t" o:hr="t"/>
        </w:pict>
      </w:r>
    </w:p>
    <w:bookmarkEnd w:id="31"/>
    <w:bookmarkStart w:id="32" w:name="what-this-page-did-not-assess"/>
    <w:p>
      <w:pPr>
        <w:pStyle w:val="Heading2"/>
      </w:pPr>
      <w:r>
        <w:t xml:space="preserve">What this page did not assess</w:t>
      </w:r>
    </w:p>
    <w:p>
      <w:pPr>
        <w:pStyle w:val="FirstParagraph"/>
      </w:pPr>
      <w:r>
        <w:t xml:space="preserve">This page maps at least the items above. It is not a complete map of the security standards landscape</w:t>
      </w:r>
      <w:r>
        <w:t xml:space="preserve"> </w:t>
      </w:r>
      <w:r>
        <w:t xml:space="preserve">and does not claim to be.</w:t>
      </w:r>
    </w:p>
    <w:p>
      <w:pPr>
        <w:pStyle w:val="BodyText"/>
      </w:pPr>
      <w:r>
        <w:rPr>
          <w:b/>
          <w:bCs/>
        </w:rPr>
        <w:t xml:space="preserve">Part 1 -- what is absent entirely.</w:t>
      </w:r>
      <w:r>
        <w:t xml:space="preserve"> </w:t>
      </w:r>
      <w:r>
        <w:t xml:space="preserve">Jurisdictions outside the US and the EU. US state privacy</w:t>
      </w:r>
      <w:r>
        <w:t xml:space="preserve"> </w:t>
      </w:r>
      <w:r>
        <w:t xml:space="preserve">laws. The rest of the ISO/IEC 27000 series and the AI management-system standards. The NIST</w:t>
      </w:r>
      <w:r>
        <w:t xml:space="preserve"> </w:t>
      </w:r>
      <w:r>
        <w:t xml:space="preserve">Cybersecurity Framework and the NIST AI Risk Management Framework. Common Criteria and product</w:t>
      </w:r>
      <w:r>
        <w:t xml:space="preserve"> </w:t>
      </w:r>
      <w:r>
        <w:t xml:space="preserve">evaluation schemes. Proprietary assurance schemes and regional cloud programs. Safety-oriented</w:t>
      </w:r>
      <w:r>
        <w:t xml:space="preserve"> </w:t>
      </w:r>
      <w:r>
        <w:t xml:space="preserve">standards for industrial and vehicle software. Sector regimes beyond the several named above as a</w:t>
      </w:r>
      <w:r>
        <w:t xml:space="preserve"> </w:t>
      </w:r>
      <w:r>
        <w:t xml:space="preserve">set. Also absent: the enforcement and liability exposure that attaches to a signature or a</w:t>
      </w:r>
      <w:r>
        <w:t xml:space="preserve"> </w:t>
      </w:r>
      <w:r>
        <w:t xml:space="preserve">representation, which is a question for counsel and not for this page.</w:t>
      </w:r>
      <w:r>
        <w:t xml:space="preserve"> </w:t>
      </w:r>
      <w:r>
        <w:rPr>
          <w:b/>
          <w:bCs/>
        </w:rPr>
        <w:t xml:space="preserve">If your obligations sit in</w:t>
      </w:r>
      <w:r>
        <w:rPr>
          <w:b/>
          <w:bCs/>
        </w:rPr>
        <w:t xml:space="preserve"> </w:t>
      </w:r>
      <w:r>
        <w:rPr>
          <w:b/>
          <w:bCs/>
        </w:rPr>
        <w:t xml:space="preserve">one of these, this page will tell you nothing about it, and you should not read its silence as</w:t>
      </w:r>
      <w:r>
        <w:rPr>
          <w:b/>
          <w:bCs/>
        </w:rPr>
        <w:t xml:space="preserve"> </w:t>
      </w:r>
      <w:r>
        <w:rPr>
          <w:b/>
          <w:bCs/>
        </w:rPr>
        <w:t xml:space="preserve">coverage.</w:t>
      </w:r>
    </w:p>
    <w:p>
      <w:pPr>
        <w:pStyle w:val="BodyText"/>
      </w:pPr>
      <w:r>
        <w:rPr>
          <w:b/>
          <w:bCs/>
        </w:rPr>
        <w:t xml:space="preserve">Part 2 -- covered here, but not verified at a primary source.</w:t>
      </w:r>
      <w:r>
        <w:t xml:space="preserve"> </w:t>
      </w:r>
      <w:r>
        <w:t xml:space="preserve">Each row names the check to run</w:t>
      </w:r>
      <w:r>
        <w:t xml:space="preserve"> </w:t>
      </w:r>
      <w:r>
        <w:t xml:space="preserve">instead of trusting this page. One limit covers a whole class and is stated once rather than repeated</w:t>
      </w:r>
      <w:r>
        <w:t xml:space="preserve"> </w:t>
      </w:r>
      <w:r>
        <w:t xml:space="preserve">per row: several US regulator and agency sites refused automated requests on the check date, so</w:t>
      </w:r>
      <w:r>
        <w:t xml:space="preserve"> </w:t>
      </w:r>
      <w:r>
        <w:t xml:space="preserve">claims sourced to them were read through search results rather than end to 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is not primary-verified</w:t>
            </w:r>
          </w:p>
        </w:tc>
        <w:tc>
          <w:tcPr/>
          <w:p>
            <w:pPr>
              <w:pStyle w:val="Compact"/>
            </w:pPr>
            <w:r>
              <w:t xml:space="preserve">What to do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audit baseline version and dates for the law-enforcement-data policy, which rest on secondary reporting that disagrees with itself</w:t>
            </w:r>
          </w:p>
        </w:tc>
        <w:tc>
          <w:tcPr/>
          <w:p>
            <w:pPr>
              <w:pStyle w:val="Compact"/>
            </w:pPr>
            <w:r>
              <w:t xml:space="preserve">Confirm with the authority that will actually audit, on the date it will happen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primary text of the July 2026 defense phase suspension, which was not readable</w:t>
            </w:r>
          </w:p>
        </w:tc>
        <w:tc>
          <w:tcPr/>
          <w:p>
            <w:pPr>
              <w:pStyle w:val="Compact"/>
            </w:pPr>
            <w:r>
              <w:t xml:space="preserve">Confirm with the contracting officer before acting on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 the class deviation pinning the safeguarding clause to an earlier revision is still standing. It has no stated expiry, but the deviation document itself was not readable</w:t>
            </w:r>
          </w:p>
        </w:tc>
        <w:tc>
          <w:tcPr/>
          <w:p>
            <w:pPr>
              <w:pStyle w:val="Compact"/>
            </w:pPr>
            <w:r>
              <w:t xml:space="preserve">Ask the contracting officer, and check the current consolidated class deviation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model version currently generating the published exploit-probability scores</w:t>
            </w:r>
          </w:p>
        </w:tc>
        <w:tc>
          <w:tcPr/>
          <w:p>
            <w:pPr>
              <w:pStyle w:val="Compact"/>
            </w:pPr>
            <w:r>
              <w:t xml:space="preserve">Read the comment line in the published data file, not a blog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field-level changes in the 2026 SBOM minimum elements</w:t>
            </w:r>
          </w:p>
        </w:tc>
        <w:tc>
          <w:tcPr/>
          <w:p>
            <w:pPr>
              <w:pStyle w:val="Compact"/>
            </w:pPr>
            <w:r>
              <w:t xml:space="preserve">Read the document, which is freely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ISO catalog entries, and any clause-level ISO content</w:t>
            </w:r>
          </w:p>
        </w:tc>
        <w:tc>
          <w:tcPr/>
          <w:p>
            <w:pPr>
              <w:pStyle w:val="Compact"/>
            </w:pPr>
            <w:r>
              <w:t xml:space="preserve">Nothing to do without buying the text: automated requests are refused and the content is 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 any rescission of the securities disclosure rules has been adopted since the petition</w:t>
            </w:r>
          </w:p>
        </w:tc>
        <w:tc>
          <w:tcPr/>
          <w:p>
            <w:pPr>
              <w:pStyle w:val="Compact"/>
            </w:pPr>
            <w:r>
              <w:t xml:space="preserve">The publisher's own site refused automated requests, so no page was read end to end. Check the rulemaking index and the adopting-release listing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final publication date of the current web application ranking</w:t>
            </w:r>
          </w:p>
        </w:tc>
        <w:tc>
          <w:tcPr/>
          <w:p>
            <w:pPr>
              <w:pStyle w:val="Compact"/>
            </w:pPr>
            <w:r>
              <w:t xml:space="preserve">Read the project's own edition page, which carries the edition as current without stamping a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audit-transition date for certification bodies, which comes from one accreditation body</w:t>
            </w:r>
          </w:p>
        </w:tc>
        <w:tc>
          <w:tcPr/>
          <w:p>
            <w:pPr>
              <w:pStyle w:val="Compact"/>
            </w:pPr>
            <w:r>
              <w:t xml:space="preserve">Ask your own certification body which date applies to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 any agency has issued replacement software assurance terms since the January 2026 rescission</w:t>
            </w:r>
          </w:p>
        </w:tc>
        <w:tc>
          <w:tcPr/>
          <w:p>
            <w:pPr>
              <w:pStyle w:val="Compact"/>
            </w:pPr>
            <w:r>
              <w:t xml:space="preserve">Ask the agency and read the contract. Nobody has consolidated this publicly, and it is where the practical answer now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discrepancy between one cloud program's claim of recognition by another and that other program's own published outcome</w:t>
            </w:r>
          </w:p>
        </w:tc>
        <w:tc>
          <w:tcPr/>
          <w:p>
            <w:pPr>
              <w:pStyle w:val="Compact"/>
            </w:pPr>
            <w:r>
              <w:t xml:space="preserve">Left open rather than resolved. Read both programs' own notices before repeating either claim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 3 -- questions this page structurally does not answer.</w:t>
      </w:r>
      <w:r>
        <w:t xml:space="preserve"> </w:t>
      </w:r>
      <w:r>
        <w:t xml:space="preserve">Whether any of this applies to your</w:t>
      </w:r>
      <w:r>
        <w:t xml:space="preserve"> </w:t>
      </w:r>
      <w:r>
        <w:t xml:space="preserve">organization: a clause number decides that, not a web page. Whether you must comply with anything: no</w:t>
      </w:r>
      <w:r>
        <w:t xml:space="preserve"> </w:t>
      </w:r>
      <w:r>
        <w:t xml:space="preserve">legal advice is given here. Which tool, scanner, format or assessor to use: none is named. Whether</w:t>
      </w:r>
      <w:r>
        <w:t xml:space="preserve"> </w:t>
      </w:r>
      <w:r>
        <w:t xml:space="preserve">anything published on this site conforms to, aligns with or partially satisfies anything named above:</w:t>
      </w:r>
      <w:r>
        <w:t xml:space="preserve"> </w:t>
      </w:r>
      <w:r>
        <w:t xml:space="preserve">it does not, and no such claim is made. And how much any of it costs, in money, effort or time: not</w:t>
      </w:r>
      <w:r>
        <w:t xml:space="preserve"> </w:t>
      </w:r>
      <w:r>
        <w:t xml:space="preserve">assessed.</w:t>
      </w:r>
    </w:p>
    <w:p>
      <w:pPr>
        <w:pStyle w:val="BodyText"/>
      </w:pPr>
      <w:r>
        <w:t xml:space="preserve">Where a claim on this page could not be confirmed at a primary source it is listed above rather than</w:t>
      </w:r>
      <w:r>
        <w:t xml:space="preserve"> </w:t>
      </w:r>
      <w:r>
        <w:t xml:space="preserve">smoothed over, and the page prefers "at least these" to an enumeration everywhere it can.</w:t>
      </w:r>
    </w:p>
    <w:p>
      <w:r>
        <w:pict>
          <v:rect style="width:0;height:1.5pt" o:hralign="center" o:hrstd="t" o:hr="t"/>
        </w:pict>
      </w:r>
    </w:p>
    <w:bookmarkEnd w:id="32"/>
    <w:bookmarkStart w:id="41" w:name="sources-and-how-to-re-check-them"/>
    <w:p>
      <w:pPr>
        <w:pStyle w:val="Heading2"/>
      </w:pPr>
      <w:r>
        <w:t xml:space="preserve">Sources, and how to re-check them</w:t>
      </w:r>
    </w:p>
    <w:p>
      <w:pPr>
        <w:pStyle w:val="FirstParagraph"/>
      </w:pPr>
      <w:r>
        <w:t xml:space="preserve">A status is authoritative in at least these four places: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publisher's own publications listing</w:t>
      </w:r>
      <w:r>
        <w:t xml:space="preserve">, which shows Final, Draft, Withdrawn or Superseded</w:t>
      </w:r>
      <w:r>
        <w:t xml:space="preserve"> </w:t>
      </w:r>
      <w:r>
        <w:t xml:space="preserve">against a dated record. For the NIST items that is the</w:t>
      </w:r>
      <w:r>
        <w:t xml:space="preserve"> </w:t>
      </w:r>
      <w:hyperlink r:id="rId33">
        <w:r>
          <w:rPr>
            <w:rStyle w:val="Hyperlink"/>
          </w:rPr>
          <w:t xml:space="preserve">CSRC publication records</w:t>
        </w:r>
      </w:hyperlink>
      <w:r>
        <w:t xml:space="preserve">; for the EU items, the</w:t>
      </w:r>
      <w:r>
        <w:t xml:space="preserve"> </w:t>
      </w:r>
      <w:hyperlink r:id="rId34">
        <w:r>
          <w:rPr>
            <w:rStyle w:val="Hyperlink"/>
          </w:rPr>
          <w:t xml:space="preserve">Commission's own policy pages</w:t>
        </w:r>
      </w:hyperlink>
      <w:r>
        <w:t xml:space="preserve">;</w:t>
      </w:r>
      <w:r>
        <w:t xml:space="preserve"> </w:t>
      </w:r>
      <w:r>
        <w:t xml:space="preserve">for the US federal memoranda and rules, the issuing office and the</w:t>
      </w:r>
      <w:r>
        <w:t xml:space="preserve"> </w:t>
      </w:r>
      <w:hyperlink r:id="rId35">
        <w:r>
          <w:rPr>
            <w:rStyle w:val="Hyperlink"/>
          </w:rPr>
          <w:t xml:space="preserve">Federal Register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program's own definitions page</w:t>
      </w:r>
      <w:r>
        <w:t xml:space="preserve">, for anything whose vocabulary has moved. The</w:t>
      </w:r>
      <w:r>
        <w:t xml:space="preserve"> </w:t>
      </w:r>
      <w:hyperlink r:id="rId36">
        <w:r>
          <w:rPr>
            <w:rStyle w:val="Hyperlink"/>
          </w:rPr>
          <w:t xml:space="preserve">cloud program's definitions</w:t>
        </w:r>
      </w:hyperlink>
      <w:r>
        <w:t xml:space="preserve"> </w:t>
      </w:r>
      <w:r>
        <w:t xml:space="preserve">is the live example.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clause, plus any deviation that modifies it.</w:t>
      </w:r>
      <w:r>
        <w:t xml:space="preserve"> </w:t>
      </w:r>
      <w:r>
        <w:t xml:space="preserve">A publication database answers a different</w:t>
      </w:r>
      <w:r>
        <w:t xml:space="preserve"> </w:t>
      </w:r>
      <w:r>
        <w:t xml:space="preserve">question from the one your contract asks.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data file's own header</w:t>
      </w:r>
      <w:r>
        <w:t xml:space="preserve">, for a generated score. The published exploit-probability data</w:t>
      </w:r>
      <w:r>
        <w:t xml:space="preserve"> </w:t>
      </w:r>
      <w:r>
        <w:t xml:space="preserve">carries a comment line naming the generating model.</w:t>
      </w:r>
    </w:p>
    <w:p>
      <w:pPr>
        <w:pStyle w:val="FirstParagraph"/>
      </w:pPr>
      <w:r>
        <w:rPr>
          <w:b/>
          <w:bCs/>
        </w:rPr>
        <w:t xml:space="preserve">At least these claims rest on secondary analysis rather than a primary source</w:t>
      </w:r>
      <w:r>
        <w:t xml:space="preserve">, each also marked in</w:t>
      </w:r>
      <w:r>
        <w:t xml:space="preserve"> </w:t>
      </w:r>
      <w:r>
        <w:t xml:space="preserve">its own cell: the suspension of the defense program phases beyond the first; the standing of the class</w:t>
      </w:r>
      <w:r>
        <w:t xml:space="preserve"> </w:t>
      </w:r>
      <w:r>
        <w:t xml:space="preserve">deviation that pins the safeguarding clause to an earlier revision; the audit baseline for the</w:t>
      </w:r>
      <w:r>
        <w:t xml:space="preserve"> </w:t>
      </w:r>
      <w:r>
        <w:t xml:space="preserve">law-enforcement-data policy; the certificate transition end date for the 2013 management-system</w:t>
      </w:r>
      <w:r>
        <w:t xml:space="preserve"> </w:t>
      </w:r>
      <w:r>
        <w:t xml:space="preserve">edition; the projected date for the pending sector-rule overhaul; the finalization date of the current</w:t>
      </w:r>
      <w:r>
        <w:t xml:space="preserve"> </w:t>
      </w:r>
      <w:r>
        <w:t xml:space="preserve">web application ranking; and the model version behind the published exploit-probability scores.</w:t>
      </w:r>
    </w:p>
    <w:p>
      <w:pPr>
        <w:pStyle w:val="BodyText"/>
      </w:pPr>
      <w:r>
        <w:t xml:space="preserve">Where a status would otherwise be unverifiable, read the primary document: the</w:t>
      </w:r>
      <w:r>
        <w:t xml:space="preserve"> </w:t>
      </w:r>
      <w:hyperlink r:id="rId37">
        <w:r>
          <w:rPr>
            <w:rStyle w:val="Hyperlink"/>
          </w:rPr>
          <w:t xml:space="preserve">January 2026 memorandum that rescinded the federal attestation mandate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2026 SBOM minimum elements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SSDF publication listing</w:t>
        </w:r>
      </w:hyperlink>
      <w:r>
        <w:t xml:space="preserve">, and the</w:t>
      </w:r>
      <w:r>
        <w:t xml:space="preserve"> </w:t>
      </w:r>
      <w:hyperlink r:id="rId40">
        <w:r>
          <w:rPr>
            <w:rStyle w:val="Hyperlink"/>
          </w:rPr>
          <w:t xml:space="preserve">build and source track specifications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7" w:name="related-pages-on-this-site"/>
    <w:p>
      <w:pPr>
        <w:pStyle w:val="Heading2"/>
      </w:pPr>
      <w:r>
        <w:t xml:space="preserve">Related pages on this site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need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 your teams already do this, rather than which standards reach you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The CISO summary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control set for AI-assisted work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AI-assisted development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much of the code a human must read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Human review of code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process a build must satisfy, and who owns which control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Secure development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Trusting code you did not write, and controlling what you publish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Dependency integrity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Judging code, whoever wrote it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Code quality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Running an assessment against a standard with several hundred requirements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Use OWASP ASVS 5.0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Saying which kind of claim you are making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CI and standards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All of it, and how to adopt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Overview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Every status on this page was checked on 2026-08-06.</w:t>
      </w:r>
      <w:r>
        <w:t xml:space="preserve"> </w:t>
      </w:r>
      <w:r>
        <w:t xml:space="preserve">This is a snapshot, not a maintained</w:t>
      </w:r>
      <w:r>
        <w:t xml:space="preserve"> </w:t>
      </w:r>
      <w:r>
        <w:t xml:space="preserve">register: several of the facts above changed within the twelve months before that date, and some will</w:t>
      </w:r>
      <w:r>
        <w:t xml:space="preserve"> </w:t>
      </w:r>
      <w:r>
        <w:t xml:space="preserve">have changed since. Re-check anything you intend to rely on at the four places named in</w:t>
      </w:r>
      <w:r>
        <w:t xml:space="preserve"> </w:t>
      </w:r>
      <w:hyperlink w:anchor="sources-and-how-to-re-check-them">
        <w:r>
          <w:rPr>
            <w:rStyle w:val="Hyperlink"/>
          </w:rPr>
          <w:t xml:space="preserve">Sources</w:t>
        </w:r>
      </w:hyperlink>
      <w:r>
        <w:t xml:space="preserve"> </w:t>
      </w:r>
      <w:r>
        <w:t xml:space="preserve">-- the publisher's own listing, the program's own</w:t>
      </w:r>
      <w:r>
        <w:t xml:space="preserve"> </w:t>
      </w:r>
      <w:r>
        <w:t xml:space="preserve">definitions page, the clause and its deviations, or the data file's own header -- before quoting it.</w:t>
      </w:r>
    </w:p>
    <w:p>
      <w:pPr>
        <w:pStyle w:val="BodyText"/>
      </w:pPr>
      <w:r>
        <w:rPr>
          <w:b/>
          <w:bCs/>
        </w:rPr>
        <w:t xml:space="preserve">MIT licensed.</w:t>
      </w:r>
      <w:r>
        <w:t xml:space="preserve"> </w:t>
      </w:r>
      <w:r>
        <w:t xml:space="preserve">Adapt this, put your own name on it, and delete anything you cannot stand behind.</w:t>
      </w:r>
      <w:r>
        <w:t xml:space="preserve"> </w:t>
      </w:r>
      <w:r>
        <w:t xml:space="preserve">Re-date it when you do: a status claim inherits the date it was checked, not the date it was copied.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ASVS-ASSESSMENT.md" TargetMode="External" /><Relationship Type="http://schemas.openxmlformats.org/officeDocument/2006/relationships/hyperlink" Id="rId45" Target="../CI-AND-STANDARDS.md" TargetMode="External" /><Relationship Type="http://schemas.openxmlformats.org/officeDocument/2006/relationships/hyperlink" Id="rId43" Target="AI-ASSISTED-DEVELOPMENT.md" TargetMode="External" /><Relationship Type="http://schemas.openxmlformats.org/officeDocument/2006/relationships/hyperlink" Id="rId42" Target="CISO-SUMMARY.md" TargetMode="External" /><Relationship Type="http://schemas.openxmlformats.org/officeDocument/2006/relationships/hyperlink" Id="rId25" Target="CODE-QUALITY.md" TargetMode="External" /><Relationship Type="http://schemas.openxmlformats.org/officeDocument/2006/relationships/hyperlink" Id="rId15" Target="DEPENDENCY-INTEGRITY.md" TargetMode="External" /><Relationship Type="http://schemas.openxmlformats.org/officeDocument/2006/relationships/hyperlink" Id="rId46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44" Target="REVIEW-DEPTH.md" TargetMode="External" /><Relationship Type="http://schemas.openxmlformats.org/officeDocument/2006/relationships/hyperlink" Id="rId21" Target="SECURE-DEVELOPMENT.md" TargetMode="External" /><Relationship Type="http://schemas.openxmlformats.org/officeDocument/2006/relationships/hyperlink" Id="rId39" Target="https://csrc.nist.gov/Projects/ssdf/publications" TargetMode="External" /><Relationship Type="http://schemas.openxmlformats.org/officeDocument/2006/relationships/hyperlink" Id="rId33" Target="https://csrc.nist.gov/publications" TargetMode="External" /><Relationship Type="http://schemas.openxmlformats.org/officeDocument/2006/relationships/hyperlink" Id="rId34" Target="https://digital-strategy.ec.europa.eu/en/policies/cyber-resilience-act" TargetMode="External" /><Relationship Type="http://schemas.openxmlformats.org/officeDocument/2006/relationships/hyperlink" Id="rId9" Target="https://raw.githubusercontent.com/wshallwshall/claude-multisession/main/docs/standards/STANDARDS-LANDSCAPE.md" TargetMode="External" /><Relationship Type="http://schemas.openxmlformats.org/officeDocument/2006/relationships/hyperlink" Id="rId10" Target="https://raw.githubusercontent.com/wshallwshall/claude-multisession/main/docs/standards/word/STANDARDS-LANDSCAPE.docx" TargetMode="External" /><Relationship Type="http://schemas.openxmlformats.org/officeDocument/2006/relationships/hyperlink" Id="rId40" Target="https://slsa.dev/spec/v1.2/build-requirements" TargetMode="External" /><Relationship Type="http://schemas.openxmlformats.org/officeDocument/2006/relationships/hyperlink" Id="rId38" Target="https://www.cisa.gov/resources-tools/resources/2026-minimum-elements-software-bill-materials-sbom" TargetMode="External" /><Relationship Type="http://schemas.openxmlformats.org/officeDocument/2006/relationships/hyperlink" Id="rId35" Target="https://www.federalregister.gov/" TargetMode="External" /><Relationship Type="http://schemas.openxmlformats.org/officeDocument/2006/relationships/hyperlink" Id="rId36" Target="https://www.fedramp.gov/2026/definitions/" TargetMode="External" /><Relationship Type="http://schemas.openxmlformats.org/officeDocument/2006/relationships/hyperlink" Id="rId37" Target="https://www.whitehouse.gov/wp-content/uploads/2026/01/M-26-05-Adopting-a-Risk-based-Approach-to-Software-and-Hardware-Security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ASVS-ASSESSMENT.md" TargetMode="External" /><Relationship Type="http://schemas.openxmlformats.org/officeDocument/2006/relationships/hyperlink" Id="rId45" Target="../CI-AND-STANDARDS.md" TargetMode="External" /><Relationship Type="http://schemas.openxmlformats.org/officeDocument/2006/relationships/hyperlink" Id="rId43" Target="AI-ASSISTED-DEVELOPMENT.md" TargetMode="External" /><Relationship Type="http://schemas.openxmlformats.org/officeDocument/2006/relationships/hyperlink" Id="rId42" Target="CISO-SUMMARY.md" TargetMode="External" /><Relationship Type="http://schemas.openxmlformats.org/officeDocument/2006/relationships/hyperlink" Id="rId25" Target="CODE-QUALITY.md" TargetMode="External" /><Relationship Type="http://schemas.openxmlformats.org/officeDocument/2006/relationships/hyperlink" Id="rId15" Target="DEPENDENCY-INTEGRITY.md" TargetMode="External" /><Relationship Type="http://schemas.openxmlformats.org/officeDocument/2006/relationships/hyperlink" Id="rId46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44" Target="REVIEW-DEPTH.md" TargetMode="External" /><Relationship Type="http://schemas.openxmlformats.org/officeDocument/2006/relationships/hyperlink" Id="rId21" Target="SECURE-DEVELOPMENT.md" TargetMode="External" /><Relationship Type="http://schemas.openxmlformats.org/officeDocument/2006/relationships/hyperlink" Id="rId39" Target="https://csrc.nist.gov/Projects/ssdf/publications" TargetMode="External" /><Relationship Type="http://schemas.openxmlformats.org/officeDocument/2006/relationships/hyperlink" Id="rId33" Target="https://csrc.nist.gov/publications" TargetMode="External" /><Relationship Type="http://schemas.openxmlformats.org/officeDocument/2006/relationships/hyperlink" Id="rId34" Target="https://digital-strategy.ec.europa.eu/en/policies/cyber-resilience-act" TargetMode="External" /><Relationship Type="http://schemas.openxmlformats.org/officeDocument/2006/relationships/hyperlink" Id="rId9" Target="https://raw.githubusercontent.com/wshallwshall/claude-multisession/main/docs/standards/STANDARDS-LANDSCAPE.md" TargetMode="External" /><Relationship Type="http://schemas.openxmlformats.org/officeDocument/2006/relationships/hyperlink" Id="rId10" Target="https://raw.githubusercontent.com/wshallwshall/claude-multisession/main/docs/standards/word/STANDARDS-LANDSCAPE.docx" TargetMode="External" /><Relationship Type="http://schemas.openxmlformats.org/officeDocument/2006/relationships/hyperlink" Id="rId40" Target="https://slsa.dev/spec/v1.2/build-requirements" TargetMode="External" /><Relationship Type="http://schemas.openxmlformats.org/officeDocument/2006/relationships/hyperlink" Id="rId38" Target="https://www.cisa.gov/resources-tools/resources/2026-minimum-elements-software-bill-materials-sbom" TargetMode="External" /><Relationship Type="http://schemas.openxmlformats.org/officeDocument/2006/relationships/hyperlink" Id="rId35" Target="https://www.federalregister.gov/" TargetMode="External" /><Relationship Type="http://schemas.openxmlformats.org/officeDocument/2006/relationships/hyperlink" Id="rId36" Target="https://www.fedramp.gov/2026/definitions/" TargetMode="External" /><Relationship Type="http://schemas.openxmlformats.org/officeDocument/2006/relationships/hyperlink" Id="rId37" Target="https://www.whitehouse.gov/wp-content/uploads/2026/01/M-26-05-Adopting-a-Risk-based-Approach-to-Software-and-Hardware-Security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2026-08-06T11:02:16Z</dcterms:created>
  <dcterms:modified xsi:type="dcterms:W3CDTF">2026-08-06T11:02:16Z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