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2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rPr>
          <w:b/>
          <w:bCs/>
        </w:rPr>
        <w:t xml:space="preserve">Trusting what you did not write, and controlling what you ship.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in-short"/>
    <w:p>
      <w:pPr>
        <w:pStyle w:val="Heading2"/>
      </w:pPr>
      <w:r>
        <w:t xml:space="preserve">In short</w:t>
      </w:r>
    </w:p>
    <w:p>
      <w:pPr>
        <w:pStyle w:val="FirstParagraph"/>
      </w:pPr>
      <w:r>
        <w:rPr>
          <w:b/>
          <w:bCs/>
        </w:rPr>
        <w:t xml:space="preserve">Two directions, one document.</w:t>
      </w:r>
      <w:r>
        <w:t xml:space="preserve"> </w:t>
      </w:r>
      <w:r>
        <w:rPr>
          <w:i/>
          <w:iCs/>
        </w:rPr>
        <w:t xml:space="preserve">Inbound:</w:t>
      </w:r>
      <w:r>
        <w:t xml:space="preserve"> </w:t>
      </w:r>
      <w:r>
        <w:t xml:space="preserve">you import code you did not write, cannot fully audit,</w:t>
      </w:r>
      <w:r>
        <w:t xml:space="preserve"> </w:t>
      </w:r>
      <w:r>
        <w:t xml:space="preserve">and that changes underneath you.</w:t>
      </w:r>
      <w:r>
        <w:t xml:space="preserve"> </w:t>
      </w:r>
      <w:r>
        <w:rPr>
          <w:i/>
          <w:iCs/>
        </w:rPr>
        <w:t xml:space="preserve">Outbound:</w:t>
      </w:r>
      <w:r>
        <w:t xml:space="preserve"> </w:t>
      </w:r>
      <w:r>
        <w:t xml:space="preserve">you publish a build other people install, and they need</w:t>
      </w:r>
      <w:r>
        <w:t xml:space="preserve"> </w:t>
      </w:r>
      <w:r>
        <w:t xml:space="preserve">some way to know it is the thing you meant to send.</w:t>
      </w:r>
    </w:p>
    <w:p>
      <w:pPr>
        <w:pStyle w:val="BodyText"/>
      </w:pPr>
      <w:r>
        <w:t xml:space="preserve">Both halves share a shape, and in neither is the answer "review it harder". It is a small number of</w:t>
      </w:r>
      <w:r>
        <w:t xml:space="preserve"> </w:t>
      </w:r>
      <w:r>
        <w:t xml:space="preserve">machine-enforced controls, plus human attention spent at two or three specific moments rather than</w:t>
      </w:r>
      <w:r>
        <w:t xml:space="preserve"> </w:t>
      </w:r>
      <w:r>
        <w:t xml:space="preserve">spread thin across everything.</w:t>
      </w:r>
    </w:p>
    <w:p>
      <w:pPr>
        <w:pStyle w:val="BodyText"/>
      </w:pPr>
      <w:r>
        <w:t xml:space="preserve">Inbound, those moments are adoption and each version bump: verify identity rather than mere</w:t>
      </w:r>
      <w:r>
        <w:t xml:space="preserve"> </w:t>
      </w:r>
      <w:r>
        <w:t xml:space="preserve">existence when you add a dependency, and read the changelog and the lock delta when you bump it.</w:t>
      </w:r>
      <w:r>
        <w:t xml:space="preserve"> </w:t>
      </w:r>
      <w:r>
        <w:t xml:space="preserve">Between them the machinery runs unattended -- pin by digest and enforce the pin at install, because</w:t>
      </w:r>
      <w:r>
        <w:t xml:space="preserve"> </w:t>
      </w:r>
      <w:r>
        <w:t xml:space="preserve">a version pin is not a hash pin, and give every manifest one blocking audit of its own.</w:t>
      </w:r>
    </w:p>
    <w:p>
      <w:pPr>
        <w:pStyle w:val="BodyText"/>
      </w:pPr>
      <w:r>
        <w:t xml:space="preserve">Outbound, allowlist what goes into the artifact and check 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upload. The upload is the</w:t>
      </w:r>
      <w:r>
        <w:t xml:space="preserve"> </w:t>
      </w:r>
      <w:r>
        <w:t xml:space="preserve">irreversible step, and an exclusion list ships whatever nobody thought to exclude.</w:t>
      </w:r>
    </w:p>
    <w:p>
      <w:pPr>
        <w:pStyle w:val="BodyText"/>
      </w:pPr>
      <w:r>
        <w:t xml:space="preserve">One moment resists automation. Whether a package is the project you meant is not a mechanical</w:t>
      </w:r>
      <w:r>
        <w:t xml:space="preserve"> </w:t>
      </w:r>
      <w:r>
        <w:t xml:space="preserve">question: a real, years-old, canonically named package can still be the wrong one, and an AI coding</w:t>
      </w:r>
      <w:r>
        <w:t xml:space="preserve"> </w:t>
      </w:r>
      <w:r>
        <w:t xml:space="preserve">assistant makes plausible-but-wrong names a routine hazard. That is the one place a human is</w:t>
      </w:r>
      <w:r>
        <w:t xml:space="preserve"> </w:t>
      </w:r>
      <w:r>
        <w:t xml:space="preserve">structurally required.</w:t>
      </w:r>
    </w:p>
    <w:p>
      <w:pPr>
        <w:pStyle w:val="BodyText"/>
      </w:pPr>
      <w:r>
        <w:t xml:space="preserve">The honest limit, stated here rather than left to be discovered:</w:t>
      </w:r>
      <w:r>
        <w:t xml:space="preserve"> </w:t>
      </w:r>
      <w:r>
        <w:rPr>
          <w:b/>
          <w:bCs/>
        </w:rPr>
        <w:t xml:space="preserve">none of this detects a malicious</w:t>
      </w:r>
      <w:r>
        <w:rPr>
          <w:b/>
          <w:bCs/>
        </w:rPr>
        <w:t xml:space="preserve"> </w:t>
      </w:r>
      <w:r>
        <w:rPr>
          <w:b/>
          <w:bCs/>
        </w:rPr>
        <w:t xml:space="preserve">release from a legitimate maintainer.</w:t>
      </w:r>
      <w:r>
        <w:t xml:space="preserve"> </w:t>
      </w:r>
      <w:r>
        <w:t xml:space="preserve">A compromised upstream that publishes a signed, canonically</w:t>
      </w:r>
      <w:r>
        <w:t xml:space="preserve"> </w:t>
      </w:r>
      <w:r>
        <w:t xml:space="preserve">named, advisory-free release passes every control in this document. What the controls buy is that</w:t>
      </w:r>
      <w:r>
        <w:t xml:space="preserve"> </w:t>
      </w:r>
      <w:r>
        <w:t xml:space="preserve">the change arrives pinned, surveilled and reviewable instead of silent.</w:t>
      </w:r>
    </w:p>
    <w:p>
      <w:r>
        <w:pict>
          <v:rect style="width:0;height:1.5pt" o:hralign="center" o:hrstd="t" o:hr="t"/>
        </w:pict>
      </w:r>
    </w:p>
    <w:bookmarkEnd w:id="12"/>
    <w:bookmarkStart w:id="13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dependency discipline that never asks you to read library source.</w:t>
      </w:r>
      <w:r>
        <w:t xml:space="preserve"> </w:t>
      </w:r>
      <w:r>
        <w:t xml:space="preserve">The controls below manage</w:t>
      </w:r>
      <w:r>
        <w:t xml:space="preserve"> </w:t>
      </w:r>
      <w:r>
        <w:t xml:space="preserve">third-party code as the black box it is -- identify, vet at adoption, test at your own boundary,</w:t>
      </w:r>
      <w:r>
        <w:t xml:space="preserve"> </w:t>
      </w:r>
      <w:r>
        <w:t xml:space="preserve">surveil, pin -- so the obligation is finite instead of impossible.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Human effort concentrated at two moments: adoption and each version bump.</w:t>
      </w:r>
      <w:r>
        <w:t xml:space="preserve"> </w:t>
      </w:r>
      <w:r>
        <w:t xml:space="preserve">A few minutes of</w:t>
      </w:r>
      <w:r>
        <w:t xml:space="preserve"> </w:t>
      </w:r>
      <w:r>
        <w:t xml:space="preserve">provenance work when you add a dependency, a changelog-and-lock-delta read when you bump it.</w:t>
      </w:r>
      <w:r>
        <w:t xml:space="preserve"> </w:t>
      </w:r>
      <w:r>
        <w:t xml:space="preserve">Everything else runs unattended until it pings you.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defense against a package name that looks right and is not.</w:t>
      </w:r>
      <w:r>
        <w:t xml:space="preserve"> </w:t>
      </w:r>
      <w:r>
        <w:t xml:space="preserve">Imports suggested by an AI coding</w:t>
      </w:r>
      <w:r>
        <w:t xml:space="preserve"> </w:t>
      </w:r>
      <w:r>
        <w:t xml:space="preserve">assistant make plausible-but-fake names a routine hazard rather than an exotic one, and the same</w:t>
      </w:r>
      <w:r>
        <w:t xml:space="preserve"> </w:t>
      </w:r>
      <w:r>
        <w:t xml:space="preserve">check that catches a fabricated name also catches a typosquat of a real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upstream behavior change that fails in your test suite instead of in production.</w:t>
      </w:r>
      <w:r>
        <w:t xml:space="preserve"> </w:t>
      </w:r>
      <w:r>
        <w:t xml:space="preserve">Tests</w:t>
      </w:r>
      <w:r>
        <w:t xml:space="preserve"> </w:t>
      </w:r>
      <w:r>
        <w:t xml:space="preserve">written at the integration boundary are the black-box substitute for reading the code, and they</w:t>
      </w:r>
      <w:r>
        <w:t xml:space="preserve"> </w:t>
      </w:r>
      <w:r>
        <w:t xml:space="preserve">turn a silent semantic change into a red bump.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published build that contains only what you declared.</w:t>
      </w:r>
      <w:r>
        <w:t xml:space="preserve"> </w:t>
      </w:r>
      <w:r>
        <w:t xml:space="preserve">An allowlist checked before the upload</w:t>
      </w:r>
      <w:r>
        <w:t xml:space="preserve"> </w:t>
      </w:r>
      <w:r>
        <w:t xml:space="preserve">step, because the upload is irreversible and an exclusion list ships whatever nobody thought to</w:t>
      </w:r>
      <w:r>
        <w:t xml:space="preserve"> </w:t>
      </w:r>
      <w:r>
        <w:t xml:space="preserve">exclude.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one-command verification story for whoever installs your build.</w:t>
      </w:r>
      <w:r>
        <w:t xml:space="preserve"> </w:t>
      </w:r>
      <w:r>
        <w:t xml:space="preserve">Published digests, build</w:t>
      </w:r>
      <w:r>
        <w:t xml:space="preserve"> </w:t>
      </w:r>
      <w:r>
        <w:t xml:space="preserve">provenance tied to a repository and a commit, and an attestation over the artifact. An adopter can</w:t>
      </w:r>
      <w:r>
        <w:t xml:space="preserve"> </w:t>
      </w:r>
      <w:r>
        <w:t xml:space="preserve">check what you shipped without contacting you or trusting your description of your own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 given back to you for saying what these controls do not do.</w:t>
      </w:r>
      <w:r>
        <w:t xml:space="preserve"> </w:t>
      </w:r>
      <w:r>
        <w:t xml:space="preserve">Wording for the runtime</w:t>
      </w:r>
      <w:r>
        <w:t xml:space="preserve"> </w:t>
      </w:r>
      <w:r>
        <w:t xml:space="preserve">tamper question that neither oversells a self-check nor pretends the problem is unsolvable.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inventory a buyer can act on, and wording for the question it does not answer.</w:t>
      </w:r>
      <w:r>
        <w:t xml:space="preserve"> </w:t>
      </w:r>
      <w:r>
        <w:t xml:space="preserve">One per</w:t>
      </w:r>
      <w:r>
        <w:t xml:space="preserve"> </w:t>
      </w:r>
      <w:r>
        <w:t xml:space="preserve">released artifact, generated by the build, served where the artifact is served -- plus the two</w:t>
      </w:r>
      <w:r>
        <w:t xml:space="preserve"> </w:t>
      </w:r>
      <w:r>
        <w:t xml:space="preserve">boundaries that get misread: it states what is in the build and never what is exploitable in a</w:t>
      </w:r>
      <w:r>
        <w:t xml:space="preserve"> </w:t>
      </w:r>
      <w:r>
        <w:t xml:space="preserve">configuration, and for software you host rather than ship, the build manifest is the wrong document</w:t>
      </w:r>
      <w:r>
        <w:t xml:space="preserve"> </w:t>
      </w:r>
      <w:r>
        <w:t xml:space="preserve">entirely.</w:t>
      </w:r>
    </w:p>
    <w:p>
      <w:r>
        <w:pict>
          <v:rect style="width:0;height:1.5pt" o:hralign="center" o:hrstd="t" o:hr="t"/>
        </w:pict>
      </w:r>
    </w:p>
    <w:bookmarkEnd w:id="13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4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4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4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4"/>
        </w:numPr>
      </w:pPr>
      <w:r>
        <w:t xml:space="preserve">Write behavior tests at each integration boundary that matters.</w:t>
      </w:r>
    </w:p>
    <w:p>
      <w:pPr>
        <w:pStyle w:val="Compact"/>
        <w:numPr>
          <w:ilvl w:val="0"/>
          <w:numId w:val="1004"/>
        </w:numPr>
      </w:pPr>
      <w:r>
        <w:t xml:space="preserve">Declare an allowlist of what your published artifact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4"/>
        </w:numPr>
      </w:pPr>
      <w:r>
        <w:t xml:space="preserve">Publish digests, then build provenance, then an attestation over the artifact.</w:t>
      </w:r>
    </w:p>
    <w:p>
      <w:pPr>
        <w:pStyle w:val="Compact"/>
        <w:numPr>
          <w:ilvl w:val="0"/>
          <w:numId w:val="1004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6"/>
    <w:bookmarkStart w:id="30" w:name="Xe58dad9aad164552b8beaab76ef88667f2f463a"/>
    <w:p>
      <w:pPr>
        <w:pStyle w:val="Heading2"/>
      </w:pPr>
      <w:r>
        <w:t xml:space="preserve">Inbound: code you deliberately do not read</w:t>
      </w:r>
    </w:p>
    <w:bookmarkStart w:id="17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states the honest position -- you are not going to read your</w:t>
      </w:r>
      <w:r>
        <w:t xml:space="preserve"> </w:t>
      </w:r>
      <w:r>
        <w:t xml:space="preserve">dependency tree, and nobody does.</w:t>
      </w:r>
    </w:p>
    <w:p>
      <w:pPr>
        <w:pStyle w:val="BodyText"/>
      </w:pPr>
      <w:r>
        <w:t xml:space="preserve">The discipline that follows never asks you to. It asks you to manage each component as a black box,</w:t>
      </w:r>
      <w:r>
        <w:t xml:space="preserve"> </w:t>
      </w:r>
      <w:r>
        <w:t xml:space="preserve">and the table says where the human effort lands.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license;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7"/>
    <w:bookmarkStart w:id="18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That review is what discharges the risk of not reading it, and it is where the adoption minutes</w:t>
      </w:r>
      <w:r>
        <w:t xml:space="preserve"> </w:t>
      </w:r>
      <w:r>
        <w:t xml:space="preserve">should go. Do not spend them skimming internals, which produces the feeling of review without the</w:t>
      </w:r>
      <w:r>
        <w:t xml:space="preserve"> </w:t>
      </w:r>
      <w:r>
        <w:t xml:space="preserve">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judgment: is this the package I meant, is the project healthy</w:t>
      </w:r>
      <w:r>
        <w:t xml:space="preserve"> </w:t>
      </w:r>
      <w:r>
        <w:t xml:space="preserve">and maintained, is the license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8"/>
    <w:bookmarkStart w:id="20" w:name="X87a94c3653a87b8fbcfd99a5118ea8f748a0b50"/>
    <w:p>
      <w:pPr>
        <w:pStyle w:val="Heading3"/>
      </w:pPr>
      <w:r>
        <w:t xml:space="preserve">The hallucinated package, and why an AI coding assistant makes it routine</w:t>
      </w:r>
    </w:p>
    <w:p>
      <w:pPr>
        <w:pStyle w:val="FirstParagraph"/>
      </w:pPr>
      <w:r>
        <w:t xml:space="preserve">An AI coding assistant generates a plausible import the same way it generates plausible prose. A</w:t>
      </w:r>
      <w:r>
        <w:t xml:space="preserve"> </w:t>
      </w:r>
      <w:r>
        <w:t xml:space="preserve">package name that reads correctly, sits in the right namespace, and matches the shape of real names</w:t>
      </w:r>
      <w:r>
        <w:t xml:space="preserve"> </w:t>
      </w:r>
      <w:r>
        <w:t xml:space="preserve">in that ecosystem is exactly the output the model is good at producing.</w:t>
      </w:r>
    </w:p>
    <w:p>
      <w:pPr>
        <w:pStyle w:val="BodyText"/>
      </w:pPr>
      <w:r>
        <w:t xml:space="preserve">At the point of use, that name is indistinguishable from one that exists. The regularity is the</w:t>
      </w:r>
      <w:r>
        <w:t xml:space="preserve"> </w:t>
      </w:r>
      <w:r>
        <w:t xml:space="preserve">attack surface: a name suggested often enough can be registered by somebody else.</w:t>
      </w:r>
    </w:p>
    <w:p>
      <w:pPr>
        <w:pStyle w:val="BodyText"/>
      </w:pPr>
      <w:r>
        <w:t xml:space="preserve">The rule, the gate shape and the published magnitude with its model-era caveat are already on the</w:t>
      </w:r>
      <w:r>
        <w:t xml:space="preserve"> </w:t>
      </w:r>
      <w:r>
        <w:t xml:space="preserve">site. They are not restated here:</w:t>
      </w:r>
      <w:r>
        <w:t xml:space="preserve"> </w:t>
      </w:r>
      <w:hyperlink r:id="rId19">
        <w:r>
          <w:rPr>
            <w:rStyle w:val="Hyperlink"/>
          </w:rPr>
          <w:t xml:space="preserve">Verify a dependency before adding it, and know what verification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cannot see</w:t>
        </w:r>
      </w:hyperlink>
      <w:r>
        <w:t xml:space="preserve">.</w:t>
      </w:r>
    </w:p>
    <w:p>
      <w:pPr>
        <w:pStyle w:val="BodyText"/>
      </w:pPr>
      <w:r>
        <w:t xml:space="preserve">Two things are worth adding at this document's altitude.</w:t>
      </w:r>
    </w:p>
    <w:p>
      <w:pPr>
        <w:pStyle w:val="BodyText"/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 an</w:t>
      </w:r>
      <w:r>
        <w:t xml:space="preserve"> </w:t>
      </w:r>
      <w:r>
        <w:t xml:space="preserve">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 A</w:t>
      </w:r>
      <w:r>
        <w:t xml:space="preserve"> </w:t>
      </w:r>
      <w:r>
        <w:t xml:space="preserve">package that genuinely exists, publishes files, is years old and is served under its own canonical</w:t>
      </w:r>
      <w:r>
        <w:t xml:space="preserve"> </w:t>
      </w:r>
      <w:r>
        <w:t xml:space="preserve">name can still be a different project than the one intended. It passes everything.</w:t>
      </w:r>
    </w:p>
    <w:p>
      <w:pPr>
        <w:pStyle w:val="BodyText"/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20"/>
    <w:bookmarkStart w:id="22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BodyText"/>
      </w:pPr>
      <w:r>
        <w:rPr>
          <w:b/>
          <w:bCs/>
        </w:rPr>
        <w:t xml:space="preserve">Code 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is that an explanation reached with assistance is acceptable, rubber-stamping is not, opaque</w:t>
      </w:r>
      <w:r>
        <w:t xml:space="preserve"> </w:t>
      </w:r>
      <w:r>
        <w:t xml:space="preserve">even with help is discarded, and you capture it durably. It is stated at</w:t>
      </w:r>
      <w:r>
        <w:t xml:space="preserve"> </w:t>
      </w:r>
      <w:hyperlink r:id="rId21">
        <w:r>
          <w:rPr>
            <w:rStyle w:val="Hyperlink"/>
          </w:rPr>
          <w:t xml:space="preserve">Reject code you cannot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explain -- assistance in reaching the explanation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Code 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behavior you depend on</w:t>
      </w:r>
      <w:r>
        <w:t xml:space="preserve">, which is what the table above enumerates.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are worth carrying from the argument that produced the pragmatic bar, neither of which</w:t>
      </w:r>
      <w:r>
        <w:t xml:space="preserve"> </w:t>
      </w:r>
      <w:r>
        <w:t xml:space="preserve">the site states.</w:t>
      </w:r>
    </w:p>
    <w:p>
      <w:pPr>
        <w:pStyle w:val="BodyText"/>
      </w:pPr>
      <w:r>
        <w:rPr>
          <w:b/>
          <w:bCs/>
        </w:rPr>
        <w:t xml:space="preserve">An AI coding assistant's explanation can be confidently wrong in exactly the way its code can.</w:t>
      </w:r>
      <w:r>
        <w:t xml:space="preserve"> </w:t>
      </w:r>
      <w:r>
        <w:t xml:space="preserve">The human verifies the explanation; accepting it is the rubber-stamp under a different name.</w:t>
      </w:r>
    </w:p>
    <w:p>
      <w:pPr>
        <w:pStyle w:val="BodyText"/>
      </w:pPr>
      <w:r>
        <w:rPr>
          <w:b/>
          <w:bCs/>
        </w:rPr>
        <w:t xml:space="preserve">When it breaks, you may not have the AI coding assistant in the loop.</w:t>
      </w:r>
      <w:r>
        <w:t xml:space="preserve"> </w:t>
      </w:r>
      <w:r>
        <w:t xml:space="preserve">That is the honest residual</w:t>
      </w:r>
      <w:r>
        <w:t xml:space="preserve"> </w:t>
      </w:r>
      <w:r>
        <w:t xml:space="preserve">risk of the pragmatic bar.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BodyText"/>
      </w:pPr>
      <w:r>
        <w:rPr>
          <w:b/>
          <w:bCs/>
        </w:rPr>
        <w:t xml:space="preserve">A cheap detector for drift on this rule:</w:t>
      </w:r>
      <w:r>
        <w:t xml:space="preserve"> </w:t>
      </w:r>
      <w:r>
        <w:t xml:space="preserve">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2"/>
    <w:bookmarkStart w:id="24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</w:t>
      </w:r>
    </w:p>
    <w:p>
      <w:pPr>
        <w:pStyle w:val="BodyText"/>
      </w:pPr>
      <w:r>
        <w:t xml:space="preserve">Worse, it silently leaves the machinery behind. A vendored path is not in the lockfile, so the</w:t>
      </w:r>
      <w:r>
        <w:t xml:space="preserve"> </w:t>
      </w:r>
      <w:r>
        <w:t xml:space="preserve">advisory auditor never sees it, and static analysis configured for your first-party package skips the</w:t>
      </w:r>
      <w:r>
        <w:t xml:space="preserve"> </w:t>
      </w:r>
      <w:r>
        <w:t xml:space="preserve">new directory. Every dependency control reports green while covering nothing -- the sibling-path</w:t>
      </w:r>
      <w:r>
        <w:t xml:space="preserve"> </w:t>
      </w:r>
      <w:r>
        <w:t xml:space="preserve">failure in its most common form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</w:t>
      </w:r>
    </w:p>
    <w:p>
      <w:pPr>
        <w:pStyle w:val="Compact"/>
        <w:numPr>
          <w:ilvl w:val="0"/>
          <w:numId w:val="1005"/>
        </w:numPr>
      </w:pPr>
      <w:r>
        <w:t xml:space="preserve">behavior tests over the vendored surface</w:t>
      </w:r>
    </w:p>
    <w:p>
      <w:pPr>
        <w:pStyle w:val="Compact"/>
        <w:numPr>
          <w:ilvl w:val="0"/>
          <w:numId w:val="1005"/>
        </w:numPr>
      </w:pPr>
      <w:r>
        <w:t xml:space="preserve">a header in each file recording what it mirrors and why, so drift is reviewable</w:t>
      </w:r>
    </w:p>
    <w:p>
      <w:pPr>
        <w:pStyle w:val="Compact"/>
        <w:numPr>
          <w:ilvl w:val="0"/>
          <w:numId w:val="1005"/>
        </w:numPr>
      </w:pPr>
      <w:r>
        <w:t xml:space="preserve">analysis scope extended to include the path, with any suppression carrying a per-line justification</w:t>
      </w:r>
      <w:r>
        <w:t xml:space="preserve"> </w:t>
      </w:r>
      <w:r>
        <w:t xml:space="preserve">that names the rule</w:t>
      </w:r>
    </w:p>
    <w:p>
      <w:pPr>
        <w:pStyle w:val="FirstParagraph"/>
      </w:pPr>
      <w:r>
        <w:t xml:space="preserve">Record the trade-off that justified vendoring and the concrete trigger that would reverse it, so the</w:t>
      </w:r>
      <w:r>
        <w:t xml:space="preserve"> </w:t>
      </w:r>
      <w:r>
        <w:t xml:space="preserve">decision is revisitable instead of permanent by default.</w:t>
      </w:r>
    </w:p>
    <w:bookmarkEnd w:id="24"/>
    <w:bookmarkStart w:id="25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 dependency</w:t>
      </w:r>
      <w:r>
        <w:t xml:space="preserve"> </w:t>
      </w:r>
      <w:r>
        <w:t xml:space="preserve">tree grows a tree that nothing watches. The dashboard still says the repository is 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</w:t>
      </w:r>
    </w:p>
    <w:p>
      <w:pPr>
        <w:pStyle w:val="BodyText"/>
      </w:pPr>
      <w:r>
        <w:t xml:space="preserve">Prefer one check that fails when a manifest exists with no corresponding audit entry, so the parity</w:t>
      </w:r>
      <w:r>
        <w:t xml:space="preserve"> </w:t>
      </w:r>
      <w:r>
        <w:t xml:space="preserve">is deterministic rather than a recurring manual sweep. Triage a transitive advisory by pinning it out</w:t>
      </w:r>
      <w:r>
        <w:t xml:space="preserve"> </w:t>
      </w:r>
      <w:r>
        <w:t xml:space="preserve">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exposure. That difference is worth</w:t>
      </w:r>
      <w:r>
        <w:t xml:space="preserve"> </w:t>
      </w:r>
      <w:r>
        <w:t xml:space="preserve">stating when you triage. It is not a reason to leave the tree unsurveilled: the build tooling is the</w:t>
      </w:r>
      <w:r>
        <w:t xml:space="preserve"> </w:t>
      </w:r>
      <w:r>
        <w:t xml:space="preserve">part that touches every line of code you ship.</w:t>
      </w:r>
    </w:p>
    <w:bookmarkEnd w:id="25"/>
    <w:bookmarkStart w:id="27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Both halves of the rule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artifact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artifact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half-measure.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6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6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6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6">
        <w:r>
          <w:rPr>
            <w:rStyle w:val="Hyperlink"/>
          </w:rPr>
          <w:t xml:space="preserve">Constrain every install site from a checked-in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lock</w:t>
        </w:r>
      </w:hyperlink>
      <w:r>
        <w:t xml:space="preserve"> </w:t>
      </w:r>
      <w:r>
        <w:t xml:space="preserve">covers the</w:t>
      </w:r>
      <w:r>
        <w:t xml:space="preserve"> </w:t>
      </w:r>
      <w:r>
        <w:t xml:space="preserve">CI-facing half, including the regenerate-and-diff gate that keeps the lock honest. Two deltas belong</w:t>
      </w:r>
      <w:r>
        <w:t xml:space="preserve"> </w:t>
      </w:r>
      <w:r>
        <w:t xml:space="preserve">here rather than there.</w:t>
      </w:r>
    </w:p>
    <w:p>
      <w:pPr>
        <w:pStyle w:val="BodyText"/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BodyText"/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7"/>
    <w:bookmarkStart w:id="28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8"/>
    <w:bookmarkStart w:id="29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</w:t>
      </w:r>
    </w:p>
    <w:p>
      <w:pPr>
        <w:pStyle w:val="Compact"/>
        <w:numPr>
          <w:ilvl w:val="0"/>
          <w:numId w:val="1007"/>
        </w:numPr>
      </w:pPr>
      <w:r>
        <w:t xml:space="preserve">a restricted network posture</w:t>
      </w:r>
    </w:p>
    <w:p>
      <w:pPr>
        <w:pStyle w:val="Compact"/>
        <w:numPr>
          <w:ilvl w:val="0"/>
          <w:numId w:val="1007"/>
        </w:numPr>
      </w:pPr>
      <w:r>
        <w:t xml:space="preserve">authentication required</w:t>
      </w:r>
    </w:p>
    <w:p>
      <w:pPr>
        <w:pStyle w:val="Compact"/>
        <w:numPr>
          <w:ilvl w:val="0"/>
          <w:numId w:val="1007"/>
        </w:numPr>
      </w:pPr>
      <w:r>
        <w:t xml:space="preserve">no outbound path for sensitive data</w:t>
      </w:r>
    </w:p>
    <w:p>
      <w:pPr>
        <w:pStyle w:val="Compact"/>
        <w:numPr>
          <w:ilvl w:val="0"/>
          <w:numId w:val="1007"/>
        </w:numPr>
      </w:pPr>
      <w:r>
        <w:t xml:space="preserve">every inbound payload treated as untrusted, validated for structure and content before it reaches</w:t>
      </w:r>
      <w:r>
        <w:t xml:space="preserve"> </w:t>
      </w:r>
      <w:r>
        <w:t xml:space="preserve">a query, a file path, a subprocess, or a downstream request</w:t>
      </w:r>
    </w:p>
    <w:p>
      <w:pPr>
        <w:pStyle w:val="FirstParagraph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3" w:name="outbound-what-you-publish"/>
    <w:p>
      <w:pPr>
        <w:pStyle w:val="Heading2"/>
      </w:pPr>
      <w:r>
        <w:t xml:space="preserve">Outbound: what you publish</w:t>
      </w:r>
    </w:p>
    <w:bookmarkStart w:id="32" w:name="Xaf99e512e67ea5e1a15b9a2df1729e151267c57"/>
    <w:p>
      <w:pPr>
        <w:pStyle w:val="Heading3"/>
      </w:pPr>
      <w:r>
        <w:t xml:space="preserve">The artifact contains only what you declared</w:t>
      </w:r>
    </w:p>
    <w:p>
      <w:pPr>
        <w:pStyle w:val="FirstParagraph"/>
      </w:pPr>
      <w:r>
        <w:t xml:space="preserve">One instance worth naming:</w:t>
      </w:r>
      <w:r>
        <w:t xml:space="preserve"> </w:t>
      </w:r>
      <w:r>
        <w:rPr>
          <w:b/>
          <w:bCs/>
        </w:rPr>
        <w:t xml:space="preserve">material a project treats as withheld can travel inside a published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, without anyone reviewing the packaging list. That is the case people assume cannot</w:t>
      </w:r>
      <w:r>
        <w:t xml:space="preserve"> </w:t>
      </w:r>
      <w:r>
        <w:t xml:space="preserve">happen. It happens because the packaging list was written as an exclusion and the material was added</w:t>
      </w:r>
      <w:r>
        <w:t xml:space="preserve"> </w:t>
      </w:r>
      <w:r>
        <w:t xml:space="preserve">later.</w:t>
      </w:r>
    </w:p>
    <w:p>
      <w:pPr>
        <w:pStyle w:val="BodyText"/>
      </w:pPr>
      <w:r>
        <w:t xml:space="preserve">Checking the thing you built is not checking the thing that shipped. The rule itself is covered in</w:t>
      </w:r>
      <w:r>
        <w:t xml:space="preserve"> </w:t>
      </w:r>
      <w:r>
        <w:t xml:space="preserve">full at</w:t>
      </w:r>
      <w:r>
        <w:t xml:space="preserve"> </w:t>
      </w:r>
      <w:hyperlink r:id="rId31">
        <w:r>
          <w:rPr>
            <w:rStyle w:val="Hyperlink"/>
          </w:rPr>
          <w:t xml:space="preserve">Package manifests are allowlists, 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sweeps</w:t>
        </w:r>
      </w:hyperlink>
      <w:r>
        <w:t xml:space="preserve">, and not restated.</w:t>
      </w:r>
    </w:p>
    <w:bookmarkEnd w:id="32"/>
    <w:bookmarkStart w:id="33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people.</w:t>
      </w:r>
    </w:p>
    <w:p>
      <w:pPr>
        <w:pStyle w:val="BodyText"/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 trigger</w:t>
      </w:r>
      <w:r>
        <w:t xml:space="preserve"> </w:t>
      </w:r>
      <w:r>
        <w:t xml:space="preserve">that grants write credentials to code from an untrusted contributor. Pin the publishing action.</w:t>
      </w:r>
    </w:p>
    <w:p>
      <w:pPr>
        <w:pStyle w:val="BodyText"/>
      </w:pPr>
      <w:r>
        <w:rPr>
          <w:b/>
          <w:bCs/>
        </w:rPr>
        <w:t xml:space="preserve">A per-run credential does not defend against takeover of the publishing account.</w:t>
      </w:r>
      <w:r>
        <w:t xml:space="preserve"> </w:t>
      </w:r>
      <w:r>
        <w:t xml:space="preserve">Multi-factor on</w:t>
      </w:r>
      <w:r>
        <w:t xml:space="preserve"> </w:t>
      </w:r>
      <w:r>
        <w:t xml:space="preserve">the account and environment protection rules are what cover that, and they are a different control.</w:t>
      </w:r>
    </w:p>
    <w:p>
      <w:pPr>
        <w:pStyle w:val="BodyText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3"/>
    <w:bookmarkStart w:id="34" w:name="X9d273a7c3a90226886540ed986bc4e46bd66a33"/>
    <w:p>
      <w:pPr>
        <w:pStyle w:val="Heading3"/>
      </w:pPr>
      <w:r>
        <w:t xml:space="preserve">Publishing identity does not cover the artifact</w:t>
      </w:r>
    </w:p>
    <w:p>
      <w:pPr>
        <w:pStyle w:val="FirstParagraph"/>
      </w:pPr>
      <w:r>
        <w:t xml:space="preserve">Establishing that an upload came from your pipeline says nothing about whether the artifact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it. Record that</w:t>
      </w:r>
      <w:r>
        <w:t xml:space="preserve"> </w:t>
      </w:r>
      <w:r>
        <w:t xml:space="preserve">attestation in a public transparency log and have the registry serve it, so a consumer can check it</w:t>
      </w:r>
      <w:r>
        <w:t xml:space="preserve"> </w:t>
      </w:r>
      <w:r>
        <w:t xml:space="preserve">without contacting you. Neither the identity nor the attestation is sufficient alone.</w:t>
      </w:r>
    </w:p>
    <w:bookmarkEnd w:id="34"/>
    <w:bookmarkStart w:id="35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artifacts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</w:t>
      </w:r>
    </w:p>
    <w:p>
      <w:pPr>
        <w:pStyle w:val="BodyText"/>
      </w:pPr>
      <w:r>
        <w:t xml:space="preserve">Signing repository tags and commits remains worthwhile for source provenance. It is the</w:t>
      </w:r>
      <w:r>
        <w:t xml:space="preserve"> </w:t>
      </w:r>
      <w:r>
        <w:rPr>
          <w:i/>
          <w:iCs/>
        </w:rPr>
        <w:t xml:space="preserve">artifact</w:t>
      </w:r>
      <w:r>
        <w:t xml:space="preserve"> </w:t>
      </w:r>
      <w:r>
        <w:t xml:space="preserve">signature path that this finding replaced.</w:t>
      </w:r>
    </w:p>
    <w:bookmarkEnd w:id="35"/>
    <w:bookmarkStart w:id="36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artifacts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further. The published build-level frameworks are</w:t>
      </w:r>
      <w:r>
        <w:t xml:space="preserve"> </w:t>
      </w:r>
      <w:r>
        <w:t xml:space="preserve">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artifact, bundle it, for the same reason.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removes</w:t>
      </w:r>
      <w:r>
        <w:t xml:space="preserve"> </w:t>
      </w:r>
      <w:r>
        <w:t xml:space="preserve">long-lived key management, which is a real win. Be clear about what it does to the threat model</w:t>
      </w:r>
      <w:r>
        <w:t xml:space="preserve"> </w:t>
      </w:r>
      <w:r>
        <w:t xml:space="preserve">rather than what it removes from it.</w:t>
      </w:r>
    </w:p>
    <w:p>
      <w:pPr>
        <w:pStyle w:val="BodyText"/>
      </w:pPr>
      <w:r>
        <w:t xml:space="preserve">You are no longer protecting a key, you are protecting the pipeline identity. Account multi-factor,</w:t>
      </w:r>
      <w:r>
        <w:t xml:space="preserve"> </w:t>
      </w:r>
      <w:r>
        <w:t xml:space="preserve">branch protection and pipeline hardening become the load-bearing controls. A project that adopts</w:t>
      </w:r>
      <w:r>
        <w:t xml:space="preserve"> </w:t>
      </w:r>
      <w:r>
        <w:t xml:space="preserve">keyless signing and leaves the pipeline unhardened has moved the target, not removed it.</w:t>
      </w:r>
    </w:p>
    <w:bookmarkEnd w:id="36"/>
    <w:bookmarkStart w:id="37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</w:t>
      </w:r>
    </w:p>
    <w:p>
      <w:pPr>
        <w:pStyle w:val="BodyText"/>
      </w:pPr>
      <w:r>
        <w:t xml:space="preserve">It buys at least:</w:t>
      </w:r>
    </w:p>
    <w:p>
      <w:pPr>
        <w:pStyle w:val="Compact"/>
        <w:numPr>
          <w:ilvl w:val="0"/>
          <w:numId w:val="1008"/>
        </w:numPr>
      </w:pPr>
      <w:r>
        <w:t xml:space="preserve">answering</w:t>
      </w:r>
      <w:r>
        <w:t xml:space="preserve"> </w:t>
      </w:r>
      <w:r>
        <w:rPr>
          <w:i/>
          <w:iCs/>
        </w:rPr>
        <w:t xml:space="preserve">do we ship component X</w:t>
      </w:r>
      <w:r>
        <w:t xml:space="preserve"> </w:t>
      </w:r>
      <w:r>
        <w:t xml:space="preserve">within minutes of a widely publicised advisory</w:t>
      </w:r>
    </w:p>
    <w:p>
      <w:pPr>
        <w:pStyle w:val="Compact"/>
        <w:numPr>
          <w:ilvl w:val="0"/>
          <w:numId w:val="1008"/>
        </w:numPr>
      </w:pPr>
      <w:r>
        <w:t xml:space="preserve">drift detection, by diffing a produced inventory against the intended manifest</w:t>
      </w:r>
    </w:p>
    <w:p>
      <w:pPr>
        <w:pStyle w:val="Compact"/>
        <w:numPr>
          <w:ilvl w:val="0"/>
          <w:numId w:val="1008"/>
        </w:numPr>
      </w:pPr>
      <w:r>
        <w:t xml:space="preserve">satisfying procurement reviews that ask for one</w:t>
      </w:r>
    </w:p>
    <w:p>
      <w:pPr>
        <w:pStyle w:val="FirstParagraph"/>
      </w:pPr>
      <w:r>
        <w:t xml:space="preserve">It does not detect tampering with your own code. Nothing about it is a signature.</w:t>
      </w:r>
    </w:p>
    <w:bookmarkEnd w:id="37"/>
    <w:bookmarkStart w:id="40" w:name="X42bc8ea013f50cd03313a76621802c865003691"/>
    <w:p>
      <w:pPr>
        <w:pStyle w:val="Heading3"/>
      </w:pPr>
      <w:r>
        <w:t xml:space="preserve">The inventory is a published artifact, and the buyer calls it an SBOM</w:t>
      </w:r>
    </w:p>
    <w:p>
      <w:pPr>
        <w:pStyle w:val="FirstParagraph"/>
      </w:pPr>
      <w:r>
        <w:t xml:space="preserve">What this document calls a component inventory, a procurement questionnaire calls a</w:t>
      </w:r>
      <w:r>
        <w:t xml:space="preserve"> </w:t>
      </w:r>
      <w:r>
        <w:rPr>
          <w:b/>
          <w:bCs/>
        </w:rPr>
        <w:t xml:space="preserve">software bill</w:t>
      </w:r>
      <w:r>
        <w:rPr>
          <w:b/>
          <w:bCs/>
        </w:rPr>
        <w:t xml:space="preserve"> </w:t>
      </w:r>
      <w:r>
        <w:rPr>
          <w:b/>
          <w:bCs/>
        </w:rPr>
        <w:t xml:space="preserve">of materials</w:t>
      </w:r>
      <w:r>
        <w:t xml:space="preserve">. Same artifact, two vocabularies, and the second is the one you will be asked for in</w:t>
      </w:r>
      <w:r>
        <w:t xml:space="preserve"> </w:t>
      </w:r>
      <w:r>
        <w:t xml:space="preserve">writing.</w:t>
      </w:r>
    </w:p>
    <w:p>
      <w:pPr>
        <w:pStyle w:val="BodyText"/>
      </w:pPr>
      <w:r>
        <w:t xml:space="preserve">Which regimes ask for one, which machine-readable formats are current, and what the published</w:t>
      </w:r>
      <w:r>
        <w:t xml:space="preserve"> </w:t>
      </w:r>
      <w:r>
        <w:t xml:space="preserve">minimum-element sets do and do not require are on the site already and are not restated here:</w:t>
      </w:r>
      <w:r>
        <w:t xml:space="preserve"> </w:t>
      </w:r>
      <w:hyperlink r:id="rId38">
        <w:r>
          <w:rPr>
            <w:rStyle w:val="Hyperlink"/>
          </w:rPr>
          <w:t xml:space="preserve">the standards reference</w:t>
        </w:r>
      </w:hyperlink>
      <w:r>
        <w:t xml:space="preserve">. Three properties decide whether the artifact</w:t>
      </w:r>
      <w:r>
        <w:t xml:space="preserve"> </w:t>
      </w:r>
      <w:r>
        <w:t xml:space="preserve">answers anything, and none of them are the format.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one inventory</w:t>
      </w:r>
      <w:r>
        <w:t xml:space="preserve"> </w:t>
      </w:r>
      <w:r>
        <w:rPr>
          <w:b/>
          <w:bCs/>
        </w:rPr>
        <w:t xml:space="preserve">per released artifact</w:t>
      </w:r>
      <w:r>
        <w:t xml:space="preserve">, generated by</w:t>
      </w:r>
      <w:r>
        <w:t xml:space="preserve"> </w:t>
      </w:r>
      <w:r>
        <w:rPr>
          <w:b/>
          <w:bCs/>
        </w:rPr>
        <w:t xml:space="preserve">the build that produced</w:t>
      </w:r>
      <w:r>
        <w:rPr>
          <w:b/>
          <w:bCs/>
        </w:rPr>
        <w:t xml:space="preserve"> </w:t>
      </w:r>
      <w:r>
        <w:rPr>
          <w:b/>
          <w:bCs/>
        </w:rPr>
        <w:t xml:space="preserve">that artifact</w:t>
      </w:r>
      <w:r>
        <w:t xml:space="preserve">, and serve it wherever the artifact is served.</w:t>
      </w:r>
    </w:p>
    <w:p>
      <w:pPr>
        <w:pStyle w:val="BodyText"/>
      </w:pPr>
      <w:r>
        <w:rPr>
          <w:b/>
          <w:bCs/>
        </w:rPr>
        <w:t xml:space="preserve">Per released artifact, not per project.</w:t>
      </w:r>
      <w:r>
        <w:t xml:space="preserve"> </w:t>
      </w:r>
      <w:r>
        <w:t xml:space="preserve">A repository-level inventory describes a moving target.</w:t>
      </w:r>
      <w:r>
        <w:t xml:space="preserve"> </w:t>
      </w:r>
      <w:r>
        <w:t xml:space="preserve">The question an inventory exists to answer is version-shaped --</w:t>
      </w:r>
      <w:r>
        <w:t xml:space="preserve"> </w:t>
      </w:r>
      <w:r>
        <w:rPr>
          <w:i/>
          <w:iCs/>
        </w:rPr>
        <w:t xml:space="preserve">what is in the version this adopter</w:t>
      </w:r>
      <w:r>
        <w:rPr>
          <w:i/>
          <w:iCs/>
        </w:rPr>
        <w:t xml:space="preserve"> </w:t>
      </w:r>
      <w:r>
        <w:rPr>
          <w:i/>
          <w:iCs/>
        </w:rPr>
        <w:t xml:space="preserve">is running</w:t>
      </w:r>
      <w:r>
        <w:t xml:space="preserve"> </w:t>
      </w:r>
      <w:r>
        <w:t xml:space="preserve">-- which is the same question the release archive answers, one section down. An inventory</w:t>
      </w:r>
      <w:r>
        <w:t xml:space="preserve"> </w:t>
      </w:r>
      <w:r>
        <w:t xml:space="preserve">not pinned to a released version cannot answer it, and reads as though it can.</w:t>
      </w:r>
    </w:p>
    <w:p>
      <w:pPr>
        <w:pStyle w:val="BodyText"/>
      </w:pPr>
      <w:r>
        <w:rPr>
          <w:b/>
          <w:bCs/>
        </w:rPr>
        <w:t xml:space="preserve">Generated by the build, never hand-maintained.</w:t>
      </w:r>
      <w:r>
        <w:t xml:space="preserve"> </w:t>
      </w:r>
      <w:r>
        <w:t xml:space="preserve">A hand-written list is accurate on the day it is</w:t>
      </w:r>
      <w:r>
        <w:t xml:space="preserve"> </w:t>
      </w:r>
      <w:r>
        <w:t xml:space="preserve">written and silently wrong afterwards. It is the exclusion-list failure with the sign flipped: an</w:t>
      </w:r>
      <w:r>
        <w:t xml:space="preserve"> </w:t>
      </w:r>
      <w:r>
        <w:t xml:space="preserve">exclusion list ships whatever nobody thought to exclude, a hand-maintained inventory omits whatever</w:t>
      </w:r>
      <w:r>
        <w:t xml:space="preserve"> </w:t>
      </w:r>
      <w:r>
        <w:t xml:space="preserve">nobody thought to add. Both are right about everything except the thing that changed.</w:t>
      </w:r>
    </w:p>
    <w:p>
      <w:pPr>
        <w:pStyle w:val="BodyText"/>
      </w:pPr>
      <w:r>
        <w:rPr>
          <w:b/>
          <w:bCs/>
        </w:rPr>
        <w:t xml:space="preserve">Served, not available on request.</w:t>
      </w:r>
      <w:r>
        <w:t xml:space="preserve"> </w:t>
      </w:r>
      <w:r>
        <w:t xml:space="preserve">An inventory a buyer has to email you for is a support process</w:t>
      </w:r>
      <w:r>
        <w:t xml:space="preserve"> </w:t>
      </w:r>
      <w:r>
        <w:t xml:space="preserve">rather than an artifact. Attaching it to the release costs nothing per release once wired, and it</w:t>
      </w:r>
      <w:r>
        <w:t xml:space="preserve"> </w:t>
      </w:r>
      <w:r>
        <w:t xml:space="preserve">takes you out of the loop on the day an advisory lands and every adopter asks the same question at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b/>
          <w:bCs/>
        </w:rPr>
        <w:t xml:space="preserve">What it establishes, and the line past which it establishes nothing.</w:t>
      </w:r>
      <w:r>
        <w:t xml:space="preserve"> </w:t>
      </w:r>
      <w:r>
        <w:t xml:space="preserve">An inventory states</w:t>
      </w:r>
      <w:r>
        <w:t xml:space="preserve"> </w:t>
      </w: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is in the build</w:t>
      </w:r>
      <w:r>
        <w:t xml:space="preserve">. It does not state that any of it is</w:t>
      </w:r>
      <w:r>
        <w:t xml:space="preserve"> </w:t>
      </w:r>
      <w:r>
        <w:rPr>
          <w:b/>
          <w:bCs/>
        </w:rPr>
        <w:t xml:space="preserve">exploitable in a given configuration</w:t>
      </w:r>
      <w:r>
        <w:t xml:space="preserve">, and</w:t>
      </w:r>
      <w:r>
        <w:t xml:space="preserve"> </w:t>
      </w:r>
      <w:r>
        <w:t xml:space="preserve">the gap between those two sentences is where most inventory-driven effort is wasted. Whether a listed</w:t>
      </w:r>
      <w:r>
        <w:t xml:space="preserve"> </w:t>
      </w:r>
      <w:r>
        <w:t xml:space="preserve">component is a risk depends on whether the affected code path is built in at all, whether it is</w:t>
      </w:r>
      <w:r>
        <w:t xml:space="preserve"> </w:t>
      </w:r>
      <w:r>
        <w:t xml:space="preserve">invoked, whether it is reachable given the deployment's configuration, and whether an attacker</w:t>
      </w:r>
      <w:r>
        <w:t xml:space="preserve"> </w:t>
      </w:r>
      <w:r>
        <w:t xml:space="preserve">controls an input that reaches it. A manifest produced by a tool that read the build carries none of</w:t>
      </w:r>
      <w:r>
        <w:t xml:space="preserve"> </w:t>
      </w:r>
      <w:r>
        <w:t xml:space="preserve">that and cannot.</w:t>
      </w:r>
    </w:p>
    <w:p>
      <w:pPr>
        <w:pStyle w:val="BodyText"/>
      </w:pPr>
      <w:r>
        <w:t xml:space="preserve">That answer is a</w:t>
      </w:r>
      <w:r>
        <w:t xml:space="preserve"> </w:t>
      </w:r>
      <w:r>
        <w:rPr>
          <w:b/>
          <w:bCs/>
        </w:rPr>
        <w:t xml:space="preserve">separate, per-advisory statement</w:t>
      </w:r>
      <w:r>
        <w:t xml:space="preserve">: for one advisory against one listed component,</w:t>
      </w:r>
      <w:r>
        <w:t xml:space="preserve"> </w:t>
      </w:r>
      <w:r>
        <w:t xml:space="preserve">whether this product is affected and why. Machine-readable vocabularies for it exist -- the one in</w:t>
      </w:r>
      <w:r>
        <w:t xml:space="preserve"> </w:t>
      </w:r>
      <w:r>
        <w:t xml:space="preserve">general circulation is an exploitability statement, or VEX -- and what a consumer reads out of one is</w:t>
      </w:r>
      <w:r>
        <w:t xml:space="preserve"> </w:t>
      </w:r>
      <w:r>
        <w:t xml:space="preserve">a status per advisory per product, plus the reason behind that status. Its author is you, not the</w:t>
      </w:r>
      <w:r>
        <w:t xml:space="preserve"> </w:t>
      </w:r>
      <w:r>
        <w:t xml:space="preserve">tooling, which is exactly why it is the scarce artifact and the inventory is not.</w:t>
      </w:r>
    </w:p>
    <w:p>
      <w:pPr>
        <w:pStyle w:val="BodyText"/>
      </w:pPr>
      <w:r>
        <w:t xml:space="preserve">This is the statement you make about somebody else's advisory against a component you shipped. The</w:t>
      </w:r>
      <w:r>
        <w:t xml:space="preserve"> </w:t>
      </w:r>
      <w:r>
        <w:t xml:space="preserve">advisory you issue about a defect of your own runs the other direction and is section 12 of</w:t>
      </w:r>
      <w:r>
        <w:t xml:space="preserve"> </w:t>
      </w:r>
      <w:hyperlink r:id="rId39">
        <w:r>
          <w:rPr>
            <w:rStyle w:val="Hyperlink"/>
          </w:rPr>
          <w:t xml:space="preserve">secure development</w:t>
        </w:r>
      </w:hyperlink>
      <w:r>
        <w:t xml:space="preserve">; the two are adjacent, both are configuration-conditional</w:t>
      </w:r>
      <w:r>
        <w:t xml:space="preserve"> </w:t>
      </w:r>
      <w:r>
        <w:t xml:space="preserve">claims about exploitability, and they are not the same document.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Label which of the two you are handing over. Never let an inventory entry be read as an</w:t>
      </w:r>
      <w:r>
        <w:t xml:space="preserve"> </w:t>
      </w:r>
      <w:r>
        <w:t xml:space="preserve">exposure, and never let an absence be read as safety -- an inventory is only as complete as the build</w:t>
      </w:r>
      <w:r>
        <w:t xml:space="preserve"> </w:t>
      </w:r>
      <w:r>
        <w:t xml:space="preserve">it was generated from, and anything that entered the running system after the build is not in it at</w:t>
      </w:r>
      <w:r>
        <w:t xml:space="preserve"> </w:t>
      </w:r>
      <w:r>
        <w:t xml:space="preserve">all.</w:t>
      </w:r>
    </w:p>
    <w:bookmarkEnd w:id="40"/>
    <w:bookmarkStart w:id="41" w:name="Xba66da458291c5cb2f6035363062d9fbfdae140"/>
    <w:p>
      <w:pPr>
        <w:pStyle w:val="Heading3"/>
      </w:pPr>
      <w:r>
        <w:t xml:space="preserve">If you host the software, the useful inventory is of the runtime</w:t>
      </w:r>
    </w:p>
    <w:p>
      <w:pPr>
        <w:pStyle w:val="FirstParagraph"/>
      </w:pPr>
      <w:r>
        <w:t xml:space="preserve">This distinction is the one most SBOM advice skips, and it changes which document is the right one to</w:t>
      </w:r>
      <w:r>
        <w:t xml:space="preserve"> </w:t>
      </w:r>
      <w:r>
        <w:t xml:space="preserve">hand over.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distribute</w:t>
      </w:r>
      <w:r>
        <w:t xml:space="preserve">, a build-time inventory of the released artifact is exactly right:</w:t>
      </w:r>
      <w:r>
        <w:t xml:space="preserve"> </w:t>
      </w:r>
      <w:r>
        <w:t xml:space="preserve">the adopter installs that artifact, so its inventory describes what they are running.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operate on their behalf</w:t>
      </w:r>
      <w:r>
        <w:t xml:space="preserve">, it is the wrong document. What is running is a deployed</w:t>
      </w:r>
      <w:r>
        <w:t xml:space="preserve"> </w:t>
      </w:r>
      <w:r>
        <w:t xml:space="preserve">environment -- base images, operating-system packages, sidecar and agent processes, and whatever was</w:t>
      </w:r>
      <w:r>
        <w:t xml:space="preserve"> </w:t>
      </w:r>
      <w:r>
        <w:t xml:space="preserve">patched in place since the build -- and a manifest of your source dependencies describes none of it.</w:t>
      </w:r>
    </w:p>
    <w:p>
      <w:pPr>
        <w:pStyle w:val="BodyText"/>
      </w:pPr>
      <w:r>
        <w:t xml:space="preserve">This is not a niche reading. A US federal memorandum of 2026-01-23 tells agencies they may adopt a</w:t>
      </w:r>
      <w:r>
        <w:t xml:space="preserve"> </w:t>
      </w:r>
      <w:r>
        <w:t xml:space="preserve">contract term requiring a producer to supply an SBOM on request, and attaches a footnote for the</w:t>
      </w:r>
      <w:r>
        <w:t xml:space="preserve"> </w:t>
      </w:r>
      <w:r>
        <w:t xml:space="preserve">cloud case: an agency adopting that term should specify that the producer must provide an SBOM "of</w:t>
      </w:r>
      <w:r>
        <w:t xml:space="preserve"> </w:t>
      </w:r>
      <w:r>
        <w:t xml:space="preserve">the runtime production environment".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distribute software, publish the inventory of the released artifact. If you host it,</w:t>
      </w:r>
      <w:r>
        <w:t xml:space="preserve"> </w:t>
      </w:r>
      <w:r>
        <w:t xml:space="preserve">publish an inventory of the runtime production environment as well, and label each for what it is. A</w:t>
      </w:r>
      <w:r>
        <w:t xml:space="preserve"> </w:t>
      </w:r>
      <w:r>
        <w:t xml:space="preserve">buyer who asked a hosted service for an SBOM and received a build manifest has not learned what is</w:t>
      </w:r>
      <w:r>
        <w:t xml:space="preserve"> </w:t>
      </w:r>
      <w:r>
        <w:t xml:space="preserve">running, and will usually not notice.</w:t>
      </w:r>
    </w:p>
    <w:bookmarkEnd w:id="41"/>
    <w:bookmarkStart w:id="42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artifact,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artifact answers neither.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1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44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artifact protects nothing that</w:t>
      </w:r>
      <w:r>
        <w:t xml:space="preserve"> </w:t>
      </w:r>
      <w:r>
        <w:t xml:space="preserve">matters. There is no confidentiality to preserve, and the tamper resistance gained is marginal:</w:t>
      </w:r>
    </w:p>
    <w:p>
      <w:pPr>
        <w:pStyle w:val="Compact"/>
        <w:numPr>
          <w:ilvl w:val="0"/>
          <w:numId w:val="1009"/>
        </w:numPr>
      </w:pPr>
      <w:r>
        <w:t xml:space="preserve">Bytecode-only distribution is decompiled and patched by public tooling.</w:t>
      </w:r>
    </w:p>
    <w:p>
      <w:pPr>
        <w:pStyle w:val="Compact"/>
        <w:numPr>
          <w:ilvl w:val="0"/>
          <w:numId w:val="1009"/>
        </w:numPr>
      </w:pPr>
      <w:r>
        <w:t xml:space="preserve">Native compilation raises the bar but leaks identifier and symbol information by default, and the</w:t>
      </w:r>
      <w:r>
        <w:t xml:space="preserve"> </w:t>
      </w:r>
      <w:r>
        <w:t xml:space="preserve">binary remains patchable with standard tools.</w:t>
      </w:r>
    </w:p>
    <w:p>
      <w:pPr>
        <w:pStyle w:val="Compact"/>
        <w:numPr>
          <w:ilvl w:val="0"/>
          <w:numId w:val="1009"/>
        </w:numPr>
      </w:pPr>
      <w:r>
        <w:t xml:space="preserve">Self-extracting single-file bundles leave their contents on disk for inspection, which the tools'</w:t>
      </w:r>
      <w:r>
        <w:t xml:space="preserve"> </w:t>
      </w:r>
      <w:r>
        <w:t xml:space="preserve">own documentation concedes.</w:t>
      </w:r>
    </w:p>
    <w:p>
      <w:pPr>
        <w:pStyle w:val="FirstParagraph"/>
      </w:pPr>
      <w:r>
        <w:t xml:space="preserve">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 they protect assume an uncompromised runtime,</w:t>
      </w:r>
      <w:r>
        <w:t xml:space="preserve"> </w:t>
      </w:r>
      <w:r>
        <w:t xml:space="preserve">and that is precisely the assumption a privileged attacker breaks.</w:t>
      </w:r>
    </w:p>
    <w:p>
      <w:pPr>
        <w:pStyle w:val="BodyText"/>
      </w:pPr>
      <w:r>
        <w:t xml:space="preserve">Where a license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authorization decisions out of any artifact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44"/>
    <w:bookmarkStart w:id="46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</w:t>
      </w:r>
    </w:p>
    <w:p>
      <w:pPr>
        <w:pStyle w:val="BodyText"/>
      </w:pPr>
      <w:r>
        <w:t xml:space="preserve">The chain of trust only terminates in hardware measured boot, which is the operator's platform</w:t>
      </w:r>
      <w:r>
        <w:t xml:space="preserve"> </w:t>
      </w:r>
      <w:r>
        <w:t xml:space="preserve">decision and not something your software 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defense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6"/>
    <w:bookmarkStart w:id="48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</w:t>
      </w:r>
    </w:p>
    <w:p>
      <w:pPr>
        <w:pStyle w:val="Compact"/>
        <w:numPr>
          <w:ilvl w:val="0"/>
          <w:numId w:val="1010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0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0"/>
        </w:numPr>
      </w:pPr>
      <w:r>
        <w:t xml:space="preserve">least-privilege file ownership, so the running account cannot rewrite its own code</w:t>
      </w:r>
    </w:p>
    <w:p>
      <w:pPr>
        <w:pStyle w:val="Compact"/>
        <w:numPr>
          <w:ilvl w:val="0"/>
          <w:numId w:val="1010"/>
        </w:numPr>
      </w:pPr>
      <w:r>
        <w:t xml:space="preserve">mandatory-access-control confinement</w:t>
      </w:r>
    </w:p>
    <w:p>
      <w:pPr>
        <w:pStyle w:val="Compact"/>
        <w:numPr>
          <w:ilvl w:val="0"/>
          <w:numId w:val="1010"/>
        </w:numPr>
      </w:pPr>
      <w:r>
        <w:t xml:space="preserve">admission control that rejects an unsigned artifact</w:t>
      </w:r>
    </w:p>
    <w:p>
      <w:pPr>
        <w:pStyle w:val="FirstParagraph"/>
      </w:pPr>
      <w:r>
        <w:t xml:space="preserve">You cannot own any of them. What you can do is ship a hardening guide, with a concrete list of paths</w:t>
      </w:r>
      <w:r>
        <w:t xml:space="preserve"> </w:t>
      </w:r>
      <w:r>
        <w:t xml:space="preserve">to monitor and example rules. An operator then has something to apply on day one rather than a</w:t>
      </w:r>
      <w:r>
        <w:t xml:space="preserve"> </w:t>
      </w:r>
      <w:r>
        <w:t xml:space="preserve">category 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control.</w:t>
      </w:r>
    </w:p>
    <w:p>
      <w:pPr>
        <w:pStyle w:val="BodyText"/>
      </w:pPr>
      <w:r>
        <w:rPr>
          <w:b/>
          <w:bCs/>
        </w:rPr>
        <w:t xml:space="preserve">The producing project owns</w:t>
      </w:r>
      <w:r>
        <w:t xml:space="preserve"> </w:t>
      </w:r>
      <w:r>
        <w:t xml:space="preserve">secure development practice, secure-by-default configuration, testing</w:t>
      </w:r>
      <w:r>
        <w:t xml:space="preserve"> </w:t>
      </w:r>
      <w:r>
        <w:t xml:space="preserve">and attestation of the software, vulnerability response, and evidence.</w:t>
      </w:r>
    </w:p>
    <w:p>
      <w:pPr>
        <w:pStyle w:val="BodyText"/>
      </w:pPr>
      <w:r>
        <w:rPr>
          <w:b/>
          <w:bCs/>
        </w:rPr>
        <w:t xml:space="preserve">The operating organization owns</w:t>
      </w:r>
      <w:r>
        <w:t xml:space="preserve"> </w:t>
      </w:r>
      <w:r>
        <w:t xml:space="preserve">host and network, identity and key management in their</w:t>
      </w:r>
      <w:r>
        <w:t xml:space="preserve"> </w:t>
      </w:r>
      <w:r>
        <w:t xml:space="preserve">environment, backups and availability, their own compliance program, and monitoring and patching.</w:t>
      </w:r>
    </w:p>
    <w:p>
      <w:pPr>
        <w:pStyle w:val="BodyText"/>
      </w:pPr>
      <w:r>
        <w:t xml:space="preserve">State plainly that shipping the software confers no certification on the operator. Your attestation</w:t>
      </w:r>
      <w:r>
        <w:t xml:space="preserve"> </w:t>
      </w:r>
      <w:r>
        <w:t xml:space="preserve">is an input to their assessment, never a substitute for it. The register to use for that wording is</w:t>
      </w:r>
      <w:r>
        <w:t xml:space="preserve"> </w:t>
      </w:r>
      <w:r>
        <w:t xml:space="preserve">on the site already -- built to, aligned with, self-assessed against, never certified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8"/>
    <w:bookmarkStart w:id="49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artifacts failing verification will also reject valid artifacts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unmet. One example: the enforcing component cannot reach the store holding</w:t>
      </w:r>
      <w:r>
        <w:t xml:space="preserve"> </w:t>
      </w:r>
      <w:r>
        <w:t xml:space="preserve">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9"/>
    <w:bookmarkStart w:id="50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generalize.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artifact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host-specific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</w:t>
            </w:r>
            <w:r>
              <w:t xml:space="preserve"> </w:t>
            </w:r>
            <w:r>
              <w:rPr>
                <w:b/>
                <w:bCs/>
              </w:rPr>
              <w:t xml:space="preserve">released artifact</w:t>
            </w:r>
            <w:r>
              <w:t xml:space="preserve">, generated by the build,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hosted service publishes an inventory of the</w:t>
            </w:r>
            <w:r>
              <w:t xml:space="preserve"> </w:t>
            </w:r>
            <w:r>
              <w:rPr>
                <w:b/>
                <w:bCs/>
              </w:rPr>
              <w:t xml:space="preserve">runtime environment</w:t>
            </w:r>
            <w:r>
              <w:t xml:space="preserve">, not only of the build</w:t>
            </w:r>
          </w:p>
        </w:tc>
        <w:tc>
          <w:tcPr/>
          <w:p>
            <w:pPr>
              <w:pStyle w:val="Compact"/>
            </w:pPr>
            <w:r>
              <w:t xml:space="preserve">Universal in concept, deployment-specific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artifact,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52"/>
    <w:bookmarkStart w:id="53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artifact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artifact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One inventory per released artifact, generated by the build, served where the artifact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states what is in the build, never what is exploitable in a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If you operate the software, publish an inventory of the runtime environment, not only of the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5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inventory stays per-artifact and build-generated.</w:t>
      </w:r>
      <w:r>
        <w:t xml:space="preserve"> </w:t>
      </w:r>
      <w:r>
        <w:t xml:space="preserve">A hand-maintained one is correct until</w:t>
      </w:r>
      <w:r>
        <w:t xml:space="preserve"> </w:t>
      </w:r>
      <w:r>
        <w:t xml:space="preserve">the first change nobody remembered to record, and it is correct-looking forever after.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Start w:id="61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3"/>
        </w:numPr>
      </w:pPr>
      <w:hyperlink r:id="rId5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3"/>
        </w:numPr>
      </w:pPr>
      <w:hyperlink r:id="rId58">
        <w:r>
          <w:rPr>
            <w:rStyle w:val="Hyperlink"/>
          </w:rPr>
          <w:t xml:space="preserve">What to ask a software vendor for</w:t>
        </w:r>
      </w:hyperlink>
      <w:r>
        <w:t xml:space="preserve"> </w:t>
      </w:r>
      <w:r>
        <w:t xml:space="preserve">-- the buyer's side of the inventory</w:t>
      </w:r>
      <w:r>
        <w:t xml:space="preserve"> </w:t>
      </w:r>
      <w:r>
        <w:t xml:space="preserve">published here, what each item proves, and why organization-layer evidence is not software-layer</w:t>
      </w:r>
      <w:r>
        <w:t xml:space="preserve"> </w:t>
      </w:r>
      <w:r>
        <w:t xml:space="preserve">evidence</w:t>
      </w:r>
    </w:p>
    <w:p>
      <w:pPr>
        <w:pStyle w:val="Compact"/>
        <w:numPr>
          <w:ilvl w:val="0"/>
          <w:numId w:val="1013"/>
        </w:numPr>
      </w:pPr>
      <w:hyperlink r:id="rId59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3"/>
        </w:numPr>
      </w:pPr>
      <w:hyperlink r:id="rId60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../CASE-STUDY-drift-audit.md" TargetMode="External" /><Relationship Type="http://schemas.openxmlformats.org/officeDocument/2006/relationships/hyperlink" Id="rId56" Target="../CI-AND-STANDARDS.md" TargetMode="External" /><Relationship Type="http://schemas.openxmlformats.org/officeDocument/2006/relationships/hyperlink" Id="rId26" Target="../CI-AND-STANDARDS.md#constrain-every-install-site-from-a-checked-in-lock" TargetMode="External" /><Relationship Type="http://schemas.openxmlformats.org/officeDocument/2006/relationships/hyperlink" Id="rId23" Target="../CI-AND-STANDARDS.md#enumerate-sibling-paths-for-every-control" TargetMode="External" /><Relationship Type="http://schemas.openxmlformats.org/officeDocument/2006/relationships/hyperlink" Id="rId31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21" Target="../CI-AND-STANDARDS.md#reject-code-you-cannot-explain----assistance-in-reaching-the-explanation-is-fine" TargetMode="External" /><Relationship Type="http://schemas.openxmlformats.org/officeDocument/2006/relationships/hyperlink" Id="rId45" Target="../CI-AND-STANDARDS.md#state-what-a-gate-does-not-prove" TargetMode="External" /><Relationship Type="http://schemas.openxmlformats.org/officeDocument/2006/relationships/hyperlink" Id="rId47" Target="../CI-AND-STANDARDS.md#use-the-register-you-actually-have-aligned-built-to-self-assessed" TargetMode="External" /><Relationship Type="http://schemas.openxmlformats.org/officeDocument/2006/relationships/hyperlink" Id="rId19" Target="../CI-AND-STANDARDS.md#verify-a-dependency-before-adding-it-and-know-what-verification-cannot-see" TargetMode="External" /><Relationship Type="http://schemas.openxmlformats.org/officeDocument/2006/relationships/hyperlink" Id="rId57" Target="../LEAK-GATE.md" TargetMode="External" /><Relationship Type="http://schemas.openxmlformats.org/officeDocument/2006/relationships/hyperlink" Id="rId54" Target="../LEAK-GATE.md#the-caveat-that-matters-most" TargetMode="External" /><Relationship Type="http://schemas.openxmlformats.org/officeDocument/2006/relationships/hyperlink" Id="rId59" Target="../TIPS-AND-TRICKS.md" TargetMode="External" /><Relationship Type="http://schemas.openxmlformats.org/officeDocument/2006/relationships/hyperlink" Id="rId58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9" Target="SECURE-DEVELOPMENT.md" TargetMode="External" /><Relationship Type="http://schemas.openxmlformats.org/officeDocument/2006/relationships/hyperlink" Id="rId38" Target="STANDARDS-REFERENCE.md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../CASE-STUDY-drift-audit.md" TargetMode="External" /><Relationship Type="http://schemas.openxmlformats.org/officeDocument/2006/relationships/hyperlink" Id="rId56" Target="../CI-AND-STANDARDS.md" TargetMode="External" /><Relationship Type="http://schemas.openxmlformats.org/officeDocument/2006/relationships/hyperlink" Id="rId26" Target="../CI-AND-STANDARDS.md#constrain-every-install-site-from-a-checked-in-lock" TargetMode="External" /><Relationship Type="http://schemas.openxmlformats.org/officeDocument/2006/relationships/hyperlink" Id="rId23" Target="../CI-AND-STANDARDS.md#enumerate-sibling-paths-for-every-control" TargetMode="External" /><Relationship Type="http://schemas.openxmlformats.org/officeDocument/2006/relationships/hyperlink" Id="rId31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21" Target="../CI-AND-STANDARDS.md#reject-code-you-cannot-explain----assistance-in-reaching-the-explanation-is-fine" TargetMode="External" /><Relationship Type="http://schemas.openxmlformats.org/officeDocument/2006/relationships/hyperlink" Id="rId45" Target="../CI-AND-STANDARDS.md#state-what-a-gate-does-not-prove" TargetMode="External" /><Relationship Type="http://schemas.openxmlformats.org/officeDocument/2006/relationships/hyperlink" Id="rId47" Target="../CI-AND-STANDARDS.md#use-the-register-you-actually-have-aligned-built-to-self-assessed" TargetMode="External" /><Relationship Type="http://schemas.openxmlformats.org/officeDocument/2006/relationships/hyperlink" Id="rId19" Target="../CI-AND-STANDARDS.md#verify-a-dependency-before-adding-it-and-know-what-verification-cannot-see" TargetMode="External" /><Relationship Type="http://schemas.openxmlformats.org/officeDocument/2006/relationships/hyperlink" Id="rId57" Target="../LEAK-GATE.md" TargetMode="External" /><Relationship Type="http://schemas.openxmlformats.org/officeDocument/2006/relationships/hyperlink" Id="rId54" Target="../LEAK-GATE.md#the-caveat-that-matters-most" TargetMode="External" /><Relationship Type="http://schemas.openxmlformats.org/officeDocument/2006/relationships/hyperlink" Id="rId59" Target="../TIPS-AND-TRICKS.md" TargetMode="External" /><Relationship Type="http://schemas.openxmlformats.org/officeDocument/2006/relationships/hyperlink" Id="rId58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9" Target="SECURE-DEVELOPMENT.md" TargetMode="External" /><Relationship Type="http://schemas.openxmlformats.org/officeDocument/2006/relationships/hyperlink" Id="rId38" Target="STANDARDS-REFERENCE.md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2026-08-07T05:17:59Z</dcterms:created>
  <dcterms:modified xsi:type="dcterms:W3CDTF">2026-08-07T05:17:59Z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