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code you import, did not write, cannot</w:t>
      </w:r>
      <w:r>
        <w:t xml:space="preserve"> </w:t>
      </w:r>
      <w:r>
        <w:t xml:space="preserve">fully audit, 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a build other people install, which they</w:t>
      </w:r>
      <w:r>
        <w:t xml:space="preserve"> </w:t>
      </w:r>
      <w:r>
        <w:t xml:space="preserve">need some way to know is the thing you meant to send.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In neither direction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A few minutes of diligence per new dependency, a review per version bump, and one</w:t>
      </w:r>
      <w:r>
        <w:t xml:space="preserve"> </w:t>
      </w:r>
      <w:r>
        <w:t xml:space="preserve">wiring exercise per manifest. Inbound, every change arrives pinned, surveilled and reviewable</w:t>
      </w:r>
      <w:r>
        <w:t xml:space="preserve"> </w:t>
      </w:r>
      <w:r>
        <w:t xml:space="preserve">rather than silent. Outbound, the release carries its own inventory and provenance, so an adopter</w:t>
      </w:r>
      <w:r>
        <w:t xml:space="preserve"> </w:t>
      </w:r>
      <w:r>
        <w:t xml:space="preserve">checks what you shipped instead of emailing you for it. None of this detects a</w:t>
      </w:r>
      <w:r>
        <w:t xml:space="preserve"> </w:t>
      </w:r>
      <w:hyperlink w:anchor="costbenefit-and-where-it-does-not-apply">
        <w:r>
          <w:rPr>
            <w:rStyle w:val="Hyperlink"/>
          </w:rPr>
          <w:t xml:space="preserve">malicious release from a legitimate maintainer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publish nothing, which makes the outbound half moot, or if nobody else runs</w:t>
      </w:r>
      <w:r>
        <w:t xml:space="preserve"> </w:t>
      </w:r>
      <w:r>
        <w:t xml:space="preserve">your software on their own host, which makes the runtime section moot as well.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Two moments need a human, and the first is adoption. Verify identity rather than</w:t>
      </w:r>
      <w:r>
        <w:t xml:space="preserve"> </w:t>
      </w:r>
      <w:r>
        <w:t xml:space="preserve">mere existence when you add a dependency, because an AI coding assistant makes plausible-but-wrong</w:t>
      </w:r>
      <w:r>
        <w:t xml:space="preserve"> </w:t>
      </w:r>
      <w:r>
        <w:t xml:space="preserve">names a routine hazard. The second is each version bump.</w:t>
      </w:r>
    </w:p>
    <w:p>
      <w:r>
        <w:pict>
          <v:rect style="width:0;height:1.5pt" o:hralign="center" o:hrstd="t" o:hr="t"/>
        </w:pict>
      </w:r>
    </w:p>
    <w:bookmarkEnd w:id="12"/>
    <w:bookmarkStart w:id="13" w:name="costbenefit-and-where-it-does-not-apply"/>
    <w:p>
      <w:pPr>
        <w:pStyle w:val="Heading2"/>
      </w:pPr>
      <w:r>
        <w:t xml:space="preserve">Cost/Benefit,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Three questions are answered on the site already and are not restated here:</w:t>
      </w:r>
    </w:p>
    <w:p>
      <w:pPr>
        <w:pStyle w:val="Compact"/>
        <w:numPr>
          <w:ilvl w:val="0"/>
          <w:numId w:val="1008"/>
        </w:numPr>
      </w:pPr>
      <w:r>
        <w:t xml:space="preserve">which regimes ask for one</w:t>
      </w:r>
    </w:p>
    <w:p>
      <w:pPr>
        <w:pStyle w:val="Compact"/>
        <w:numPr>
          <w:ilvl w:val="0"/>
          <w:numId w:val="1008"/>
        </w:numPr>
      </w:pPr>
      <w:r>
        <w:t xml:space="preserve">which machine-readable formats are current</w:t>
      </w:r>
    </w:p>
    <w:p>
      <w:pPr>
        <w:pStyle w:val="Compact"/>
        <w:numPr>
          <w:ilvl w:val="0"/>
          <w:numId w:val="1008"/>
        </w:numPr>
      </w:pPr>
      <w:r>
        <w:t xml:space="preserve">what the published minimum-element sets do and do not require</w:t>
      </w:r>
    </w:p>
    <w:p>
      <w:pPr>
        <w:pStyle w:val="FirstParagraph"/>
      </w:pPr>
      <w:r>
        <w:t xml:space="preserve">They are in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</w:t>
      </w:r>
      <w:r>
        <w:t xml:space="preserve"> </w:t>
      </w:r>
      <w:r>
        <w:t xml:space="preserve">artifact 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environment:</w:t>
      </w:r>
    </w:p>
    <w:p>
      <w:pPr>
        <w:pStyle w:val="Compact"/>
        <w:numPr>
          <w:ilvl w:val="0"/>
          <w:numId w:val="1009"/>
        </w:numPr>
      </w:pPr>
      <w:r>
        <w:t xml:space="preserve">base images</w:t>
      </w:r>
    </w:p>
    <w:p>
      <w:pPr>
        <w:pStyle w:val="Compact"/>
        <w:numPr>
          <w:ilvl w:val="0"/>
          <w:numId w:val="1009"/>
        </w:numPr>
      </w:pPr>
      <w:r>
        <w:t xml:space="preserve">operating-system packages</w:t>
      </w:r>
    </w:p>
    <w:p>
      <w:pPr>
        <w:pStyle w:val="Compact"/>
        <w:numPr>
          <w:ilvl w:val="0"/>
          <w:numId w:val="1009"/>
        </w:numPr>
      </w:pPr>
      <w:r>
        <w:t xml:space="preserve">sidecar and agent processes</w:t>
      </w:r>
    </w:p>
    <w:p>
      <w:pPr>
        <w:pStyle w:val="Compact"/>
        <w:numPr>
          <w:ilvl w:val="0"/>
          <w:numId w:val="1009"/>
        </w:numPr>
      </w:pPr>
      <w:r>
        <w:t xml:space="preserve">whatever was patched in place since the build</w:t>
      </w:r>
    </w:p>
    <w:p>
      <w:pPr>
        <w:pStyle w:val="FirstParagraph"/>
      </w:pPr>
      <w:r>
        <w:t xml:space="preserve">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request. A footnote covers the cloud case:</w:t>
      </w:r>
      <w:r>
        <w:t xml:space="preserve"> </w:t>
      </w:r>
      <w:r>
        <w:t xml:space="preserve">an agency adopting that term should specify an SBOM "of 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0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0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0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1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1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1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1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1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4"/>
        </w:numPr>
      </w:pPr>
      <w:hyperlink r:id="rId55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4"/>
        </w:numPr>
      </w:pPr>
      <w:hyperlink r:id="rId5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4"/>
        </w:numPr>
      </w:pPr>
      <w:hyperlink r:id="rId5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2026-08-11T23:59:43Z</dcterms:created>
  <dcterms:modified xsi:type="dcterms:W3CDTF">2026-08-11T23:59:43Z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