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8" w:name="X04e6f0e6c606c135a58eeec76c171761f0de5fa"/>
    <w:p>
      <w:pPr>
        <w:pStyle w:val="Heading1"/>
      </w:pPr>
      <w:r>
        <w:t xml:space="preserve">Security standards reference: what each one issues, and what triggers it</w:t>
      </w:r>
    </w:p>
    <w:p>
      <w:pPr>
        <w:pStyle w:val="FirstParagraph"/>
      </w:pPr>
      <w:r>
        <w:rPr>
          <w:b/>
          <w:bCs/>
        </w:rPr>
        <w:t xml:space="preserve">One row per document, and the reasoning behind the cuts they are sorted on.</w:t>
      </w:r>
      <w:r>
        <w:t xml:space="preserve"> </w:t>
      </w:r>
      <w:r>
        <w:t xml:space="preserve">Consult this while</w:t>
      </w:r>
      <w:r>
        <w:t xml:space="preserve"> </w:t>
      </w:r>
      <w:r>
        <w:t xml:space="preserve">working, already knowing what you are looking for. If instead you are trying to work out which of</w:t>
      </w:r>
      <w:r>
        <w:t xml:space="preserve"> </w:t>
      </w:r>
      <w:r>
        <w:t xml:space="preserve">these is even worth your attention, start at</w:t>
      </w:r>
      <w:r>
        <w:t xml:space="preserve"> </w:t>
      </w:r>
      <w:hyperlink r:id="rId9">
        <w:r>
          <w:rPr>
            <w:rStyle w:val="Hyperlink"/>
          </w:rPr>
          <w:t xml:space="preserve">which standards apply to you</w:t>
        </w:r>
      </w:hyperlink>
      <w:r>
        <w:t xml:space="preserve"> </w:t>
      </w:r>
      <w:r>
        <w:t xml:space="preserve">-- the same coverage organized around your</w:t>
      </w:r>
      <w:r>
        <w:t xml:space="preserve"> </w:t>
      </w:r>
      <w:r>
        <w:t xml:space="preserve">situation rather than around the documents, and carrying an interactive selector on the served site.</w:t>
      </w:r>
      <w:r>
        <w:t xml:space="preserve"> </w:t>
      </w:r>
      <w:r>
        <w:t xml:space="preserve">That page routes and holds no rows; this one holds the rows and the argument.</w:t>
      </w:r>
    </w:p>
    <w:p>
      <w:pPr>
        <w:pStyle w:val="BlockText"/>
      </w:pPr>
      <w:r>
        <w:rPr>
          <w:b/>
          <w:bCs/>
        </w:rPr>
        <w:t xml:space="preserve">Take a copy:</w:t>
      </w:r>
      <w:r>
        <w:t xml:space="preserve"> </w:t>
      </w:r>
      <w:hyperlink r:id="rId10">
        <w:r>
          <w:rPr>
            <w:rStyle w:val="Hyperlink"/>
          </w:rPr>
          <w:t xml:space="preserve">markdown</w:t>
        </w:r>
      </w:hyperlink>
      <w:r>
        <w:t xml:space="preserve"> </w:t>
      </w:r>
      <w:r>
        <w:t xml:space="preserve">or</w:t>
      </w:r>
      <w:r>
        <w:t xml:space="preserve"> </w:t>
      </w:r>
      <w:hyperlink r:id="rId11">
        <w:r>
          <w:rPr>
            <w:rStyle w:val="Hyperlink"/>
          </w:rPr>
          <w:t xml:space="preserve">Word document</w:t>
        </w:r>
      </w:hyperlink>
      <w:r>
        <w:t xml:space="preserve">.</w:t>
      </w:r>
      <w:r>
        <w:t xml:space="preserve"> </w:t>
      </w:r>
      <w:hyperlink r:id="rId12">
        <w:r>
          <w:rPr>
            <w:rStyle w:val="Hyperlink"/>
          </w:rPr>
          <w:t xml:space="preserve">Every file, both formats</w:t>
        </w:r>
      </w:hyperlink>
      <w:r>
        <w:t xml:space="preserve">.</w:t>
      </w:r>
    </w:p>
    <w:p>
      <w:r>
        <w:pict>
          <v:rect style="width:0;height:1.5pt" o:hralign="center" o:hrstd="t" o:hr="t"/>
        </w:pict>
      </w:r>
    </w:p>
    <w:bookmarkStart w:id="14" w:name="tldrbluf"/>
    <w:p>
      <w:pPr>
        <w:pStyle w:val="Heading2"/>
      </w:pPr>
      <w:r>
        <w:t xml:space="preserve">TLDR/BLUF</w:t>
      </w:r>
    </w:p>
    <w:p>
      <w:pPr>
        <w:pStyle w:val="FirstParagraph"/>
      </w:pPr>
      <w:r>
        <w:rPr>
          <w:b/>
          <w:bCs/>
        </w:rPr>
        <w:t xml:space="preserve">This is a reference to consult, not a document to read through.</w:t>
      </w:r>
      <w:r>
        <w:t xml:space="preserve"> </w:t>
      </w:r>
      <w:r>
        <w:t xml:space="preserve">One row per document: what it</w:t>
      </w:r>
      <w:r>
        <w:t xml:space="preserve"> </w:t>
      </w:r>
      <w:r>
        <w:t xml:space="preserve">issues, what triggers it, its status with the date that was checked, and a check you can run</w:t>
      </w:r>
      <w:r>
        <w:t xml:space="preserve"> </w:t>
      </w:r>
      <w:r>
        <w:t xml:space="preserve">yourself. If you do not yet know which of these is worth your attention, you are on the wrong page</w:t>
      </w:r>
      <w:r>
        <w:t xml:space="preserve"> </w:t>
      </w:r>
      <w:r>
        <w:t xml:space="preserve">-- start at</w:t>
      </w:r>
      <w:r>
        <w:t xml:space="preserve"> </w:t>
      </w:r>
      <w:hyperlink r:id="rId9">
        <w:r>
          <w:rPr>
            <w:rStyle w:val="Hyperlink"/>
          </w:rPr>
          <w:t xml:space="preserve">which standards apply to you</w:t>
        </w:r>
      </w:hyperlink>
      <w:r>
        <w:t xml:space="preserve">.</w:t>
      </w:r>
    </w:p>
    <w:p>
      <w:pPr>
        <w:pStyle w:val="BodyText"/>
      </w:pPr>
      <w:r>
        <w:t xml:space="preserve">Three things to hold while reading any row:</w:t>
      </w:r>
    </w:p>
    <w:p>
      <w:pPr>
        <w:pStyle w:val="Compact"/>
        <w:numPr>
          <w:ilvl w:val="0"/>
          <w:numId w:val="1001"/>
        </w:numPr>
      </w:pPr>
      <w:r>
        <w:rPr>
          <w:b/>
          <w:bCs/>
        </w:rPr>
        <w:t xml:space="preserve">Every status was checked on 2026-08-06</w:t>
      </w:r>
      <w:r>
        <w:t xml:space="preserve">, stated once here rather than repeated in every cell.</w:t>
      </w:r>
      <w:r>
        <w:t xml:space="preserve"> </w:t>
      </w:r>
      <w:r>
        <w:t xml:space="preserve">Where a cell says "the check date", it means that one.</w:t>
      </w:r>
    </w:p>
    <w:p>
      <w:pPr>
        <w:pStyle w:val="Compact"/>
        <w:numPr>
          <w:ilvl w:val="0"/>
          <w:numId w:val="1001"/>
        </w:numPr>
      </w:pPr>
      <w:r>
        <w:rPr>
          <w:b/>
          <w:bCs/>
        </w:rPr>
        <w:t xml:space="preserve">This is a snapshot, not a maintained register.</w:t>
      </w:r>
      <w:r>
        <w:t xml:space="preserve"> </w:t>
      </w:r>
      <w:r>
        <w:t xml:space="preserve">Several of these facts changed within the</w:t>
      </w:r>
      <w:r>
        <w:t xml:space="preserve"> </w:t>
      </w:r>
      <w:r>
        <w:t xml:space="preserve">twelve months before that date, and some will have changed since. Re-check anything you intend</w:t>
      </w:r>
      <w:r>
        <w:t xml:space="preserve"> </w:t>
      </w:r>
      <w:r>
        <w:t xml:space="preserve">to rely on; each row says how.</w:t>
      </w:r>
    </w:p>
    <w:p>
      <w:pPr>
        <w:pStyle w:val="Compact"/>
        <w:numPr>
          <w:ilvl w:val="0"/>
          <w:numId w:val="1001"/>
        </w:numPr>
      </w:pPr>
      <w:r>
        <w:rPr>
          <w:b/>
          <w:bCs/>
        </w:rPr>
        <w:t xml:space="preserve">"At least these."</w:t>
      </w:r>
      <w:r>
        <w:t xml:space="preserve"> </w:t>
      </w:r>
      <w:r>
        <w:t xml:space="preserve">This is not a complete map of the landscape and does not claim to be.</w:t>
      </w:r>
      <w:r>
        <w:t xml:space="preserve"> </w:t>
      </w:r>
      <w:hyperlink r:id="rId13">
        <w:r>
          <w:rPr>
            <w:rStyle w:val="Hyperlink"/>
          </w:rPr>
          <w:t xml:space="preserve">What the routing page did not assess</w:t>
        </w:r>
      </w:hyperlink>
      <w:r>
        <w:t xml:space="preserve"> </w:t>
      </w:r>
      <w:r>
        <w:t xml:space="preserve">names what is missing on purpose -- do not read its silence as coverage. That link is written out</w:t>
      </w:r>
      <w:r>
        <w:t xml:space="preserve"> </w:t>
      </w:r>
      <w:r>
        <w:t xml:space="preserve">in full because a relative one is dead in a downloaded Word file.</w:t>
      </w:r>
    </w:p>
    <w:p>
      <w:pPr>
        <w:pStyle w:val="FirstParagraph"/>
      </w:pPr>
      <w:r>
        <w:rPr>
          <w:b/>
          <w:bCs/>
        </w:rPr>
        <w:t xml:space="preserve">Nothing here says any of it binds your organization.</w:t>
      </w:r>
      <w:r>
        <w:t xml:space="preserve"> </w:t>
      </w:r>
      <w:r>
        <w:t xml:space="preserve">A clause number decides that, applying to</w:t>
      </w:r>
      <w:r>
        <w:t xml:space="preserve"> </w:t>
      </w:r>
      <w:r>
        <w:t xml:space="preserve">your situation is not the same thing as binding you, and nothing here is legal advice.</w:t>
      </w:r>
    </w:p>
    <w:p>
      <w:pPr>
        <w:pStyle w:val="BodyText"/>
      </w:pPr>
      <w:r>
        <w:rPr>
          <w:b/>
          <w:bCs/>
        </w:rPr>
        <w:t xml:space="preserve">Sorted by who each document makes demands of</w:t>
      </w:r>
      <w:r>
        <w:t xml:space="preserve">, which is the most stable fact about it: status,</w:t>
      </w:r>
      <w:r>
        <w:t xml:space="preserve"> </w:t>
      </w:r>
      <w:r>
        <w:t xml:space="preserve">trigger and enforcement machinery change constantly, and the audience almost never does. The column</w:t>
      </w:r>
      <w:r>
        <w:t xml:space="preserve"> </w:t>
      </w:r>
      <w:r>
        <w:t xml:space="preserve">asks whose conduct a document's sentences purport to govern, not whether anything obliges you to</w:t>
      </w:r>
      <w:r>
        <w:t xml:space="preserve"> </w:t>
      </w:r>
      <w:r>
        <w:t xml:space="preserve">follow them -- that is the trigger column's question, and most of the documents here oblige nobody</w:t>
      </w:r>
      <w:r>
        <w:t xml:space="preserve"> </w:t>
      </w:r>
      <w:r>
        <w:t xml:space="preserve">on their own. The last section is the one whose documents govern no one's conduct at all: they</w:t>
      </w:r>
      <w:r>
        <w:t xml:space="preserve"> </w:t>
      </w:r>
      <w:r>
        <w:t xml:space="preserve">define the terms other documents are written in, so it is named for what they are used for instead.</w:t>
      </w:r>
      <w:r>
        <w:t xml:space="preserve"> </w:t>
      </w:r>
      <w:r>
        <w:t xml:space="preserve">Every item appears in exactly one table.</w:t>
      </w:r>
    </w:p>
    <w:p>
      <w:pPr>
        <w:pStyle w:val="BodyText"/>
      </w:pPr>
      <w:r>
        <w:rPr>
          <w:b/>
          <w:bCs/>
        </w:rPr>
        <w:t xml:space="preserve">The tables come first, and everything after them explains the cuts.</w:t>
      </w:r>
      <w:r>
        <w:t xml:space="preserve"> </w:t>
      </w:r>
      <w:hyperlink w:anchor="who-a-document-is-addressed-to">
        <w:r>
          <w:rPr>
            <w:rStyle w:val="Hyperlink"/>
          </w:rPr>
          <w:t xml:space="preserve">Who a document is addressed to</w:t>
        </w:r>
      </w:hyperlink>
      <w:r>
        <w:t xml:space="preserve">,</w:t>
      </w:r>
      <w:r>
        <w:t xml:space="preserve"> </w:t>
      </w:r>
      <w:hyperlink w:anchor="Xec54665e908c89ecc68195cf1b924f4fd00fad3">
        <w:r>
          <w:rPr>
            <w:rStyle w:val="Hyperlink"/>
          </w:rPr>
          <w:t xml:space="preserve">the organization layer is not the software layer</w:t>
        </w:r>
      </w:hyperlink>
      <w:r>
        <w:t xml:space="preserve">,</w:t>
      </w:r>
      <w:r>
        <w:t xml:space="preserve"> </w:t>
      </w:r>
      <w:hyperlink w:anchor="how-these-actually-arrive">
        <w:r>
          <w:rPr>
            <w:rStyle w:val="Hyperlink"/>
          </w:rPr>
          <w:t xml:space="preserve">how these actually arrive</w:t>
        </w:r>
      </w:hyperlink>
      <w:r>
        <w:t xml:space="preserve"> </w:t>
      </w:r>
      <w:r>
        <w:t xml:space="preserve">and</w:t>
      </w:r>
      <w:r>
        <w:t xml:space="preserve"> </w:t>
      </w:r>
      <w:hyperlink w:anchor="why-every-status-carries-a-date">
        <w:r>
          <w:rPr>
            <w:rStyle w:val="Hyperlink"/>
          </w:rPr>
          <w:t xml:space="preserve">why every status carries a date</w:t>
        </w:r>
      </w:hyperlink>
      <w:r>
        <w:t xml:space="preserve"> </w:t>
      </w:r>
      <w:r>
        <w:t xml:space="preserve">sit below the rows rather than</w:t>
      </w:r>
      <w:r>
        <w:t xml:space="preserve"> </w:t>
      </w:r>
      <w:r>
        <w:t xml:space="preserve">above them, so a reader who came here to look one thing up is not made to read an argument first.</w:t>
      </w:r>
      <w:r>
        <w:t xml:space="preserve"> </w:t>
      </w:r>
      <w:r>
        <w:t xml:space="preserve">They are the part worth reading once.</w:t>
      </w:r>
    </w:p>
    <w:p>
      <w:r>
        <w:pict>
          <v:rect style="width:0;height:1.5pt" o:hralign="center" o:hrstd="t" o:hr="t"/>
        </w:pict>
      </w:r>
    </w:p>
    <w:bookmarkEnd w:id="14"/>
    <w:bookmarkStart w:id="15" w:name="what-each-one-issues"/>
    <w:p>
      <w:pPr>
        <w:pStyle w:val="Heading2"/>
      </w:pPr>
      <w:r>
        <w:t xml:space="preserve">What each one issues</w:t>
      </w:r>
    </w:p>
    <w:p>
      <w:pPr>
        <w:pStyle w:val="FirstParagraph"/>
      </w:pPr>
      <w:r>
        <w:t xml:space="preserve">Read this column first when somebody asks you for an artifact. Most of the documents on this page</w:t>
      </w:r>
      <w:r>
        <w:t xml:space="preserve"> </w:t>
      </w:r>
      <w:r>
        <w:t xml:space="preserve">issue nothing at all, and being asked for a certificate that does not exist is the routine case</w:t>
      </w:r>
      <w:r>
        <w:t xml:space="preserve"> </w:t>
      </w:r>
      <w:r>
        <w:t xml:space="preserve">rather than the unusual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issues</w:t>
            </w:r>
          </w:p>
        </w:tc>
        <w:tc>
          <w:tcPr/>
          <w:p>
            <w:pPr>
              <w:pStyle w:val="Compact"/>
            </w:pPr>
            <w:r>
              <w:t xml:space="preserve">What that means when somebody asks you for it</w:t>
            </w:r>
          </w:p>
        </w:tc>
        <w:tc>
          <w:tcPr/>
          <w:p>
            <w:pPr>
              <w:pStyle w:val="Compact"/>
            </w:pPr>
            <w:r>
              <w:t xml:space="preserve">Examples below</w:t>
            </w:r>
          </w:p>
        </w:tc>
      </w:tr>
      <w:tr>
        <w:tc>
          <w:tcPr/>
          <w:p>
            <w:pPr>
              <w:pStyle w:val="Compact"/>
            </w:pPr>
            <w:r>
              <w:rPr>
                <w:b/>
                <w:bCs/>
              </w:rPr>
              <w:t xml:space="preserve">Nothing</w:t>
            </w:r>
          </w:p>
        </w:tc>
        <w:tc>
          <w:tcPr/>
          <w:p>
            <w:pPr>
              <w:pStyle w:val="Compact"/>
            </w:pPr>
            <w:r>
              <w:t xml:space="preserve">There is no artifact to obtain. Offer what exists: named control correspondences, your own evidence, a written program</w:t>
            </w:r>
          </w:p>
        </w:tc>
        <w:tc>
          <w:tcPr/>
          <w:p>
            <w:pPr>
              <w:pStyle w:val="Compact"/>
            </w:pPr>
            <w:r>
              <w:t xml:space="preserve">Most items here, including every framework and every control catalog</w:t>
            </w:r>
          </w:p>
        </w:tc>
      </w:tr>
      <w:tr>
        <w:tc>
          <w:tcPr/>
          <w:p>
            <w:pPr>
              <w:pStyle w:val="Compact"/>
            </w:pPr>
            <w:r>
              <w:rPr>
                <w:b/>
                <w:bCs/>
              </w:rPr>
              <w:t xml:space="preserve">A self-attestation you sign yourself</w:t>
            </w:r>
          </w:p>
        </w:tc>
        <w:tc>
          <w:tcPr/>
          <w:p>
            <w:pPr>
              <w:pStyle w:val="Compact"/>
            </w:pPr>
            <w:r>
              <w:t xml:space="preserve">The signature is the instrument, and the exposure is yours. Nobody independent looked</w:t>
            </w:r>
          </w:p>
        </w:tc>
        <w:tc>
          <w:tcPr/>
          <w:p>
            <w:pPr>
              <w:pStyle w:val="Compact"/>
            </w:pPr>
            <w:r>
              <w:t xml:space="preserve">The federal attestation form; the defense self-assessment score and annual affirmation</w:t>
            </w:r>
          </w:p>
        </w:tc>
      </w:tr>
      <w:tr>
        <w:tc>
          <w:tcPr/>
          <w:p>
            <w:pPr>
              <w:pStyle w:val="Compact"/>
            </w:pPr>
            <w:r>
              <w:rPr>
                <w:b/>
                <w:bCs/>
              </w:rPr>
              <w:t xml:space="preserve">An assessment or examination report</w:t>
            </w:r>
          </w:p>
        </w:tc>
        <w:tc>
          <w:tcPr/>
          <w:p>
            <w:pPr>
              <w:pStyle w:val="Compact"/>
            </w:pPr>
            <w:r>
              <w:t xml:space="preserve">Usually restricted in use, and there is no pass mark. One carries a licensed firm's opinion; a CUI assessment carries findings only</w:t>
            </w:r>
          </w:p>
        </w:tc>
        <w:tc>
          <w:tcPr/>
          <w:p>
            <w:pPr>
              <w:pStyle w:val="Compact"/>
            </w:pPr>
            <w:r>
              <w:t xml:space="preserve">SOC 2; a CUI assessment run to the published procedures</w:t>
            </w:r>
          </w:p>
        </w:tc>
      </w:tr>
      <w:tr>
        <w:tc>
          <w:tcPr/>
          <w:p>
            <w:pPr>
              <w:pStyle w:val="Compact"/>
            </w:pPr>
            <w:r>
              <w:rPr>
                <w:b/>
                <w:bCs/>
              </w:rPr>
              <w:t xml:space="preserve">A third-party certificate from an accredited body</w:t>
            </w:r>
          </w:p>
        </w:tc>
        <w:tc>
          <w:tcPr/>
          <w:p>
            <w:pPr>
              <w:pStyle w:val="Compact"/>
            </w:pPr>
            <w:r>
              <w:t xml:space="preserve">A certificate for a stated scope. The accreditation is what gives it weight</w:t>
            </w:r>
          </w:p>
        </w:tc>
        <w:tc>
          <w:tcPr/>
          <w:p>
            <w:pPr>
              <w:pStyle w:val="Compact"/>
            </w:pPr>
            <w:r>
              <w:t xml:space="preserve">ISO/IEC 27001; one rung of the defense program</w:t>
            </w:r>
          </w:p>
        </w:tc>
      </w:tr>
      <w:tr>
        <w:tc>
          <w:tcPr/>
          <w:p>
            <w:pPr>
              <w:pStyle w:val="Compact"/>
            </w:pPr>
            <w:r>
              <w:rPr>
                <w:b/>
                <w:bCs/>
              </w:rPr>
              <w:t xml:space="preserve">A government program status or certification</w:t>
            </w:r>
          </w:p>
        </w:tc>
        <w:tc>
          <w:tcPr/>
          <w:p>
            <w:pPr>
              <w:pStyle w:val="Compact"/>
            </w:pPr>
            <w:r>
              <w:t xml:space="preserve">A status recorded and published by the program, for a named offering rather than for a company</w:t>
            </w:r>
          </w:p>
        </w:tc>
        <w:tc>
          <w:tcPr/>
          <w:p>
            <w:pPr>
              <w:pStyle w:val="Compact"/>
            </w:pPr>
            <w:r>
              <w:t xml:space="preserve">FedRAMP, GovRAMP</w:t>
            </w:r>
          </w:p>
        </w:tc>
      </w:tr>
      <w:tr>
        <w:tc>
          <w:tcPr/>
          <w:p>
            <w:pPr>
              <w:pStyle w:val="Compact"/>
            </w:pPr>
            <w:r>
              <w:rPr>
                <w:b/>
                <w:bCs/>
              </w:rPr>
              <w:t xml:space="preserve">A conformity mark you affix yourself after your own assessment</w:t>
            </w:r>
          </w:p>
        </w:tc>
        <w:tc>
          <w:tcPr/>
          <w:p>
            <w:pPr>
              <w:pStyle w:val="Compact"/>
            </w:pPr>
            <w:r>
              <w:t xml:space="preserve">You assess, declare and mark. A third body is involved only for some product classes</w:t>
            </w:r>
          </w:p>
        </w:tc>
        <w:tc>
          <w:tcPr/>
          <w:p>
            <w:pPr>
              <w:pStyle w:val="Compact"/>
            </w:pPr>
            <w:r>
              <w:t xml:space="preserve">The EU Cyber Resilience Act</w:t>
            </w:r>
          </w:p>
        </w:tc>
      </w:tr>
      <w:tr>
        <w:tc>
          <w:tcPr/>
          <w:p>
            <w:pPr>
              <w:pStyle w:val="Compact"/>
            </w:pPr>
            <w:r>
              <w:rPr>
                <w:b/>
                <w:bCs/>
              </w:rPr>
              <w:t xml:space="preserve">Identifiers, a score, or a measurement definition</w:t>
            </w:r>
          </w:p>
        </w:tc>
        <w:tc>
          <w:tcPr/>
          <w:p>
            <w:pPr>
              <w:pStyle w:val="Compact"/>
            </w:pPr>
            <w:r>
              <w:t xml:space="preserve">Data, not a verdict. A measurement definition produces a number only once some tool implements it</w:t>
            </w:r>
          </w:p>
        </w:tc>
        <w:tc>
          <w:tcPr/>
          <w:p>
            <w:pPr>
              <w:pStyle w:val="Compact"/>
            </w:pPr>
            <w:r>
              <w:t xml:space="preserve">CWE, CVE, EPSS, the automated source code measures</w:t>
            </w:r>
          </w:p>
        </w:tc>
      </w:tr>
    </w:tbl>
    <w:p>
      <w:r>
        <w:pict>
          <v:rect style="width:0;height:1.5pt" o:hralign="center" o:hrstd="t" o:hr="t"/>
        </w:pict>
      </w:r>
    </w:p>
    <w:bookmarkEnd w:id="15"/>
    <w:bookmarkStart w:id="19" w:name="makes-demands-of-a-software-producer"/>
    <w:p>
      <w:pPr>
        <w:pStyle w:val="Heading2"/>
      </w:pPr>
      <w:r>
        <w:t xml:space="preserve">Makes demands of a software producer</w:t>
      </w:r>
    </w:p>
    <w:p>
      <w:pPr>
        <w:pStyle w:val="FirstParagraph"/>
      </w:pPr>
      <w:r>
        <w:t xml:space="preserve">These describe how software is built and released. One of them binds a producer directly; the rest</w:t>
      </w:r>
      <w:r>
        <w:t xml:space="preserve"> </w:t>
      </w:r>
      <w:r>
        <w:t xml:space="preserve">arrive only when a customer, a contract or a package ecosystem names them.</w:t>
      </w:r>
    </w:p>
    <w:bookmarkStart w:id="17" w:name="requirement-shaped-items"/>
    <w:p>
      <w:pPr>
        <w:pStyle w:val="Heading3"/>
      </w:pPr>
      <w:r>
        <w:t xml:space="preserve">Requirement-shaped items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EU Cyber Resilience Act, Regulation (EU) 2024/2847</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NIST SP 800-218 v1.1 (SSDF)</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CISA Secure Software Development Attestation Form</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OWASP ASVS 5.0.0</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SLSA v1.2</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CISA 2026 Minimum Elements for an SBOM</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ISO/IEC 5055:2021 and OMG ASCQM 1.1</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in-toto attestations and Sigstore signing</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bl>
    <w:p>
      <w:pPr>
        <w:pStyle w:val="BodyText"/>
      </w:pPr>
      <w:r>
        <w:rPr>
          <w:b/>
          <w:bCs/>
        </w:rPr>
        <w:t xml:space="preserve">The federal attestation chain, because the cell cannot carry it.</w:t>
      </w:r>
      <w:r>
        <w:t xml:space="preserve"> </w:t>
      </w:r>
      <w:r>
        <w:t xml:space="preserve">EO 14028 (2021) directed the</w:t>
      </w:r>
      <w:r>
        <w:t xml:space="preserve"> </w:t>
      </w:r>
      <w:r>
        <w:t xml:space="preserve">guidance. OMB M-22-18 and M-23-16 turned it into a collection requirement. EO 14144 in January 2025</w:t>
      </w:r>
      <w:r>
        <w:t xml:space="preserve"> </w:t>
      </w:r>
      <w:r>
        <w:t xml:space="preserve">would have added submission to a repository, central verification and referral of failures, and EO</w:t>
      </w:r>
      <w:r>
        <w:t xml:space="preserve"> </w:t>
      </w:r>
      <w:r>
        <w:t xml:space="preserve">14306 struck that apparatus on 2025-06-06. OMB M-26-05 then rescinded the collection mandate itself</w:t>
      </w:r>
      <w:r>
        <w:t xml:space="preserve"> </w:t>
      </w:r>
      <w:r>
        <w:t xml:space="preserve">on 2026-01-23. Anyone describing a single January 2026 event has lost the fact that the verification</w:t>
      </w:r>
      <w:r>
        <w:t xml:space="preserve"> </w:t>
      </w:r>
      <w:r>
        <w:t xml:space="preserve">model was already gone in mid-2025. The status of the federal repository that received submissions is</w:t>
      </w:r>
      <w:r>
        <w:t xml:space="preserve"> </w:t>
      </w:r>
      <w:r>
        <w:t xml:space="preserve">unknown as of the check date: not reported running, not reported gone. And a signed self-attestation</w:t>
      </w:r>
      <w:r>
        <w:t xml:space="preserve"> </w:t>
      </w:r>
      <w:r>
        <w:t xml:space="preserve">is a different instrument from a certificate -- rescinding the instruction that prompted a signature</w:t>
      </w:r>
      <w:r>
        <w:t xml:space="preserve"> </w:t>
      </w:r>
      <w:r>
        <w:t xml:space="preserve">is prospective, and unsigns nothing. This is the worked example for the first shape of staleness in</w:t>
      </w:r>
      <w:r>
        <w:t xml:space="preserve"> </w:t>
      </w:r>
      <w:hyperlink w:anchor="why-every-status-carries-a-date">
        <w:r>
          <w:rPr>
            <w:rStyle w:val="Hyperlink"/>
          </w:rPr>
          <w:t xml:space="preserve">why every status carries a date</w:t>
        </w:r>
      </w:hyperlink>
      <w:r>
        <w:t xml:space="preserve">.</w:t>
      </w:r>
    </w:p>
    <w:p>
      <w:pPr>
        <w:pStyle w:val="BodyText"/>
      </w:pPr>
      <w:r>
        <w:t xml:space="preserve">Component inventory and build provenance as controls -- rather than as any named framework -- are</w:t>
      </w:r>
      <w:r>
        <w:t xml:space="preserve"> </w:t>
      </w:r>
      <w:r>
        <w:t xml:space="preserve">covered in</w:t>
      </w:r>
      <w:r>
        <w:t xml:space="preserve"> </w:t>
      </w:r>
      <w:hyperlink r:id="rId16">
        <w:r>
          <w:rPr>
            <w:rStyle w:val="Hyperlink"/>
          </w:rPr>
          <w:t xml:space="preserve">Dependency integrity</w:t>
        </w:r>
      </w:hyperlink>
      <w:r>
        <w:t xml:space="preserve">, which names no baseline and claims</w:t>
      </w:r>
      <w:r>
        <w:t xml:space="preserve"> </w:t>
      </w:r>
      <w:r>
        <w:t xml:space="preserve">correspondence with none.</w:t>
      </w:r>
    </w:p>
    <w:bookmarkEnd w:id="17"/>
    <w:bookmarkStart w:id="18" w:name="rankings-and-awareness-lists"/>
    <w:p>
      <w:pPr>
        <w:pStyle w:val="Heading3"/>
      </w:pPr>
      <w:r>
        <w:t xml:space="preserve">Rankings and awareness lists</w:t>
      </w:r>
    </w:p>
    <w:p>
      <w:pPr>
        <w:pStyle w:val="FirstParagraph"/>
      </w:pPr>
      <w:r>
        <w:rPr>
          <w:b/>
          <w:bCs/>
        </w:rPr>
        <w:t xml:space="preserve">A ranking has no completion condition and cannot be discharged as written.</w:t>
      </w:r>
      <w:r>
        <w:t xml:space="preserve"> </w:t>
      </w:r>
      <w:r>
        <w:t xml:space="preserve">A clause requiring</w:t>
      </w:r>
      <w:r>
        <w:t xml:space="preserve"> </w:t>
      </w:r>
      <w:r>
        <w:t xml:space="preserve">software to be free of the issues in an ordered list of categories never says when verification is</w:t>
      </w:r>
      <w:r>
        <w:t xml:space="preserve"> </w:t>
      </w:r>
      <w:r>
        <w:t xml:space="preserve">finished, so a program scoped that way finishes when the scanner stops printing. A requirement set is</w:t>
      </w:r>
      <w:r>
        <w:t xml:space="preserve"> </w:t>
      </w:r>
      <w:r>
        <w:t xml:space="preserve">verifiable item by item and has a defensible done. Convert a ranking clause into a requirement-set</w:t>
      </w:r>
      <w:r>
        <w:t xml:space="preserve"> </w:t>
      </w:r>
      <w:r>
        <w:t xml:space="preserve">clause</w:t>
      </w:r>
      <w:r>
        <w:t xml:space="preserve"> </w:t>
      </w:r>
      <w:r>
        <w:rPr>
          <w:b/>
          <w:bCs/>
        </w:rPr>
        <w:t xml:space="preserve">while the clause is being agreed</w:t>
      </w:r>
      <w:r>
        <w:t xml:space="preserve">: by assessment time the only remaining options are to</w:t>
      </w:r>
      <w:r>
        <w:t xml:space="preserve"> </w:t>
      </w:r>
      <w:r>
        <w:t xml:space="preserve">argue or to over-deliver. That conversation is the cheapest thing on this page.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OWASP Top 10:2025</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OWASP Top 10 for LLM Applications, 2026 edition</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CWE Top 25, 2025 edition</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bl>
    <w:p>
      <w:r>
        <w:pict>
          <v:rect style="width:0;height:1.5pt" o:hralign="center" o:hrstd="t" o:hr="t"/>
        </w:pict>
      </w:r>
    </w:p>
    <w:bookmarkEnd w:id="18"/>
    <w:bookmarkEnd w:id="19"/>
    <w:bookmarkStart w:id="24" w:name="Xf732b44ccd9dcaa3ad13ccfbaa99f570ae9e67a"/>
    <w:p>
      <w:pPr>
        <w:pStyle w:val="Heading2"/>
      </w:pPr>
      <w:r>
        <w:t xml:space="preserve">Makes demands of an organization, not a product</w:t>
      </w:r>
    </w:p>
    <w:p>
      <w:pPr>
        <w:pStyle w:val="FirstParagraph"/>
      </w:pPr>
      <w:r>
        <w:t xml:space="preserve">None of these certifies a product, and all of them are routinely offered as product evidence. Where</w:t>
      </w:r>
      <w:r>
        <w:t xml:space="preserve"> </w:t>
      </w:r>
      <w:r>
        <w:t xml:space="preserve">one applies to a software producer, it arrives through a contract rather than through the regime.</w:t>
      </w:r>
      <w:r>
        <w:t xml:space="preserve"> </w:t>
      </w:r>
      <w:r>
        <w:t xml:space="preserve">Why that distinction is the most useful sentence on the whole subject is under</w:t>
      </w:r>
      <w:r>
        <w:t xml:space="preserve"> </w:t>
      </w:r>
      <w:hyperlink w:anchor="Xec54665e908c89ecc68195cf1b924f4fd00fad3">
        <w:r>
          <w:rPr>
            <w:rStyle w:val="Hyperlink"/>
          </w:rPr>
          <w:t xml:space="preserve">the organization layer is not the software layer</w:t>
        </w:r>
      </w:hyperlink>
      <w:r>
        <w:t xml:space="preserve">,</w:t>
      </w:r>
      <w:r>
        <w:t xml:space="preserve"> </w:t>
      </w:r>
      <w:r>
        <w:t xml:space="preserve">below.</w:t>
      </w:r>
    </w:p>
    <w:bookmarkStart w:id="20" w:name="certification-and-program-regimes"/>
    <w:p>
      <w:pPr>
        <w:pStyle w:val="Heading3"/>
      </w:pPr>
      <w:r>
        <w:t xml:space="preserve">Certification and program regimes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27001:2022 (plus Amendment 1:2024)</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SOC 2 (Type 1 and Type 2)</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HITRUST CSF (e1, i1, r2)</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FedRAMP</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GovRAMP (formerly StateRAMP)</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PCI DSS v4.0.1</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bl>
    <w:p>
      <w:pPr>
        <w:pStyle w:val="BodyText"/>
      </w:pPr>
      <w:r>
        <w:rPr>
          <w:b/>
          <w:bCs/>
        </w:rPr>
        <w:t xml:space="preserve">The cloud programs assess a service offering you operate</w:t>
      </w:r>
      <w:r>
        <w:t xml:space="preserve">, which is why they sit here rather than</w:t>
      </w:r>
      <w:r>
        <w:t xml:space="preserve"> </w:t>
      </w:r>
      <w:r>
        <w:t xml:space="preserve">with the producer items even though a software company usually pays for them. One cloud program has</w:t>
      </w:r>
      <w:r>
        <w:t xml:space="preserve"> </w:t>
      </w:r>
      <w:r>
        <w:t xml:space="preserve">begun using an external framework for its lightest class only, and calls that class transitory:</w:t>
      </w:r>
      <w:r>
        <w:t xml:space="preserve"> </w:t>
      </w:r>
      <w:r>
        <w:t xml:space="preserve">narrow, and not a shortcut. A discrepancy between one cloud program's claim of recognition by another</w:t>
      </w:r>
      <w:r>
        <w:t xml:space="preserve"> </w:t>
      </w:r>
      <w:r>
        <w:t xml:space="preserve">and that other program's own published outcome is left open here rather than resolved -- read both</w:t>
      </w:r>
      <w:r>
        <w:t xml:space="preserve"> </w:t>
      </w:r>
      <w:r>
        <w:t xml:space="preserve">programs' own notices before repeating either claim.</w:t>
      </w:r>
    </w:p>
    <w:bookmarkEnd w:id="20"/>
    <w:bookmarkStart w:id="21" w:name="sector-and-jurisdiction-regimes"/>
    <w:p>
      <w:pPr>
        <w:pStyle w:val="Heading3"/>
      </w:pPr>
      <w:r>
        <w:t xml:space="preserve">Sector and jurisdiction regimes</w:t>
      </w:r>
    </w:p>
    <w:p>
      <w:pPr>
        <w:pStyle w:val="FirstParagraph"/>
      </w:pPr>
      <w:r>
        <w:t xml:space="preserve">Six regimes, presented as members of a set. None gets a worked example, and the operational</w:t>
      </w:r>
      <w:r>
        <w:t xml:space="preserve"> </w:t>
      </w:r>
      <w:r>
        <w:t xml:space="preserve">vocabulary of each is deliberately absent.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HIPAA Security Rule (45 CFR Part 164 Subpart C)</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FTC Safeguards Rule under GLBA (16 CFR Part 314)</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is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apply to them. The definition is statutory, not a matter of self-description.</w:t>
            </w:r>
          </w:p>
        </w:tc>
      </w:tr>
      <w:tr>
        <w:tc>
          <w:tcPr/>
          <w:p>
            <w:pPr>
              <w:pStyle w:val="Compact"/>
            </w:pPr>
            <w:r>
              <w:rPr>
                <w:b/>
                <w:bCs/>
              </w:rPr>
              <w:t xml:space="preserve">FERPA (20 U.S.C. 1232g; 34 CFR Part 99)</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CJIS Security Policy</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NIS2 Directive ((EU) 2022/2555)</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SEC cybersecurity disclosure rules (17 CFR Parts 229, 232, 239, 240, 249)</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bl>
    <w:p>
      <w:pPr>
        <w:pStyle w:val="BodyText"/>
      </w:pPr>
      <w:r>
        <w:rPr>
          <w:b/>
          <w:bCs/>
        </w:rPr>
        <w:t xml:space="preserve">A resource guide to a rule is not the rule.</w:t>
      </w:r>
      <w:r>
        <w:t xml:space="preserve"> </w:t>
      </w:r>
      <w:r>
        <w:t xml:space="preserve">Several of the regimes above have a publisher's</w:t>
      </w:r>
      <w:r>
        <w:t xml:space="preserve"> </w:t>
      </w:r>
      <w:r>
        <w:t xml:space="preserve">implementation guide sitting beside them, and the two get cited identically. A guide states no</w:t>
      </w:r>
      <w:r>
        <w:t xml:space="preserve"> </w:t>
      </w:r>
      <w:r>
        <w:t xml:space="preserve">requirement and issues nothing, so conformance to one is not a thing that exists, and a questionnaire</w:t>
      </w:r>
      <w:r>
        <w:t xml:space="preserve"> </w:t>
      </w:r>
      <w:r>
        <w:t xml:space="preserve">asking a supplier to attest to a guide is asking for something no party can supply.</w:t>
      </w:r>
    </w:p>
    <w:bookmarkEnd w:id="21"/>
    <w:bookmarkStart w:id="23" w:name="control-catalogs-and-operational-inputs"/>
    <w:p>
      <w:pPr>
        <w:pStyle w:val="Heading3"/>
      </w:pPr>
      <w:r>
        <w:t xml:space="preserve">Control catalogs and operational inputs</w:t>
      </w:r>
    </w:p>
    <w:p>
      <w:pPr>
        <w:pStyle w:val="FirstParagraph"/>
      </w:pPr>
      <w:r>
        <w:t xml:space="preserve">The chain worth carrying, because it tells you which document a question belongs to: FIPS 199</w:t>
      </w:r>
      <w:r>
        <w:t xml:space="preserve"> </w:t>
      </w:r>
      <w:r>
        <w:t xml:space="preserve">categorizes, SP 800-60 Rev. 1 guides the categorizing, FIPS 200 sets a floor, SP 800-53B selects a</w:t>
      </w:r>
      <w:r>
        <w:t xml:space="preserve"> </w:t>
      </w:r>
      <w:r>
        <w:t xml:space="preserve">baseline, SP 800-53 supplies the control text, and SP 800-53A assesses it. SP 800-122 sits to the</w:t>
      </w:r>
      <w:r>
        <w:t xml:space="preserve"> </w:t>
      </w:r>
      <w:r>
        <w:t xml:space="preserve">side, covering personally identifiable information (PII). Most questions arrive attached to the</w:t>
      </w:r>
      <w:r>
        <w:t xml:space="preserve"> </w:t>
      </w:r>
      <w:r>
        <w:t xml:space="preserve">wrong link.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NIST SP 800-53 Rev. 5 (Release 5.2.0), with SP 800-53B and FIPS 199</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800-161 Rev. 1 (upd 1)</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The US defense CUI chain: SP 800-171 as pinned by contract, the CMMC program, the DFARS clauses</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arrives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r>
        <w:tc>
          <w:tcPr/>
          <w:p>
            <w:pPr>
              <w:pStyle w:val="Compact"/>
            </w:pPr>
            <w:r>
              <w:rPr>
                <w:b/>
                <w:bCs/>
              </w:rPr>
              <w:t xml:space="preserve">CISA Known Exploited Vulnerabilities catalog, and BOD 26-04</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EPSS</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OWASP SAMM v2.0</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NIST SP 800-122</w:t>
            </w:r>
          </w:p>
        </w:tc>
        <w:tc>
          <w:tcPr/>
          <w:p>
            <w:pPr>
              <w:pStyle w:val="Compact"/>
            </w:pPr>
            <w:r>
              <w:t xml:space="preserve">Nothing. Guidance.</w:t>
            </w:r>
          </w:p>
        </w:tc>
        <w:tc>
          <w:tcPr/>
          <w:p>
            <w:pPr>
              <w:pStyle w:val="Compact"/>
            </w:pPr>
            <w:r>
              <w:t xml:space="preserve">No independent trigger. It sits beside the federal control chain, covering personally identifiable information (PII).</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control overlays for securing AI systems</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bl>
    <w:p>
      <w:pPr>
        <w:pStyle w:val="BodyText"/>
      </w:pPr>
      <w:r>
        <w:rPr>
          <w:b/>
          <w:bCs/>
        </w:rPr>
        <w:t xml:space="preserve">A defense-style obligation begins with a clause number, not a publication.</w:t>
      </w:r>
      <w:r>
        <w:t xml:space="preserve"> </w:t>
      </w:r>
      <w:r>
        <w:t xml:space="preserve">Ask which</w:t>
      </w:r>
      <w:r>
        <w:t xml:space="preserve"> </w:t>
      </w:r>
      <w:r>
        <w:t xml:space="preserve">solicitation, which contract and which clause number, and check whether a deviation modifies the</w:t>
      </w:r>
      <w:r>
        <w:t xml:space="preserve"> </w:t>
      </w:r>
      <w:r>
        <w:t xml:space="preserve">clause -- the clause text alone can name the wrong revision. The route it arrives by, and who</w:t>
      </w:r>
      <w:r>
        <w:t xml:space="preserve"> </w:t>
      </w:r>
      <w:r>
        <w:t xml:space="preserve">therefore owns the response, is in</w:t>
      </w:r>
      <w:r>
        <w:t xml:space="preserve"> </w:t>
      </w:r>
      <w:hyperlink w:anchor="how-these-actually-arrive">
        <w:r>
          <w:rPr>
            <w:rStyle w:val="Hyperlink"/>
          </w:rPr>
          <w:t xml:space="preserve">how these actually arrive</w:t>
        </w:r>
      </w:hyperlink>
      <w:r>
        <w:t xml:space="preserve"> </w:t>
      </w:r>
      <w:r>
        <w:t xml:space="preserve">below.</w:t>
      </w:r>
      <w:r>
        <w:t xml:space="preserve"> </w:t>
      </w:r>
      <w:r>
        <w:t xml:space="preserve">The release-versus-revision trap in the control catalog, with the producer-versus-operator</w:t>
      </w:r>
      <w:r>
        <w:t xml:space="preserve"> </w:t>
      </w:r>
      <w:r>
        <w:t xml:space="preserve">split that decides who owns a control at all, sits in</w:t>
      </w:r>
      <w:r>
        <w:t xml:space="preserve"> </w:t>
      </w:r>
      <w:hyperlink r:id="rId22">
        <w:r>
          <w:rPr>
            <w:rStyle w:val="Hyperlink"/>
          </w:rPr>
          <w:t xml:space="preserve">Secure development</w:t>
        </w:r>
      </w:hyperlink>
      <w:r>
        <w:t xml:space="preserve"> </w:t>
      </w:r>
      <w:r>
        <w:t xml:space="preserve">rather than here.</w:t>
      </w:r>
    </w:p>
    <w:p>
      <w:r>
        <w:pict>
          <v:rect style="width:0;height:1.5pt" o:hralign="center" o:hrstd="t" o:hr="t"/>
        </w:pict>
      </w:r>
    </w:p>
    <w:bookmarkEnd w:id="23"/>
    <w:bookmarkEnd w:id="24"/>
    <w:bookmarkStart w:id="25" w:name="makes-demands-of-an-assessor"/>
    <w:p>
      <w:pPr>
        <w:pStyle w:val="Heading2"/>
      </w:pPr>
      <w:r>
        <w:t xml:space="preserve">Makes demands of an assessor</w:t>
      </w:r>
    </w:p>
    <w:p>
      <w:pPr>
        <w:pStyle w:val="FirstParagraph"/>
      </w:pPr>
      <w:r>
        <w:t xml:space="preserve">Three rows and one lesson:</w:t>
      </w:r>
      <w:r>
        <w:t xml:space="preserve"> </w:t>
      </w:r>
      <w:r>
        <w:rPr>
          <w:b/>
          <w:bCs/>
        </w:rPr>
        <w:t xml:space="preserve">these change what an audit looks like and impose nothing on the audited</w:t>
      </w:r>
      <w:r>
        <w:rPr>
          <w:b/>
          <w:bCs/>
        </w:rPr>
        <w:t xml:space="preserve"> </w:t>
      </w:r>
      <w:r>
        <w:rPr>
          <w:b/>
          <w:bCs/>
        </w:rPr>
        <w:t xml:space="preserve">organization.</w:t>
      </w:r>
      <w:r>
        <w:t xml:space="preserve"> </w:t>
      </w:r>
      <w:r>
        <w:t xml:space="preserve">An unexplained change in audit shape or duration usually starts here rather than in</w:t>
      </w:r>
      <w:r>
        <w:t xml:space="preserve"> </w:t>
      </w:r>
      <w:r>
        <w:t xml:space="preserve">your auditor's temperament. Reading them as requirements on yourself manufactures controls nothing</w:t>
      </w:r>
      <w:r>
        <w:t xml:space="preserve"> </w:t>
      </w:r>
      <w:r>
        <w:t xml:space="preserve">ever asked for.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27006-1:2024</w:t>
            </w:r>
          </w:p>
        </w:tc>
        <w:tc>
          <w:tcPr/>
          <w:p>
            <w:pPr>
              <w:pStyle w:val="Compact"/>
            </w:pPr>
            <w:r>
              <w:t xml:space="preserve">Nothing to the audited organization. It governs the auditor.</w:t>
            </w:r>
          </w:p>
        </w:tc>
        <w:tc>
          <w:tcPr/>
          <w:p>
            <w:pPr>
              <w:pStyle w:val="Compact"/>
            </w:pPr>
            <w:r>
              <w:t xml:space="preserve">It affects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NIST SP 800-53A Rev. 5 (Release 5.2.0)</w:t>
            </w:r>
          </w:p>
        </w:tc>
        <w:tc>
          <w:tcPr/>
          <w:p>
            <w:pPr>
              <w:pStyle w:val="Compact"/>
            </w:pPr>
            <w:r>
              <w:t xml:space="preserve">Nothing to the audited organization.</w:t>
            </w:r>
          </w:p>
        </w:tc>
        <w:tc>
          <w:tcPr/>
          <w:p>
            <w:pPr>
              <w:pStyle w:val="Compact"/>
            </w:pPr>
            <w:r>
              <w:t xml:space="preserve">It affects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"Makes demands of an assessor" does not mean "what an auditor will ask you for". It tells someone how to conduct an examination. Building to it produces controls nothing ever required.</w:t>
            </w:r>
          </w:p>
        </w:tc>
      </w:tr>
      <w:tr>
        <w:tc>
          <w:tcPr/>
          <w:p>
            <w:pPr>
              <w:pStyle w:val="Compact"/>
            </w:pPr>
            <w:r>
              <w:rPr>
                <w:b/>
                <w:bCs/>
              </w:rPr>
              <w:t xml:space="preserve">NIST SP 800-171A Rev. 3 and SP 800-172A Rev. 3</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bl>
    <w:p>
      <w:r>
        <w:pict>
          <v:rect style="width:0;height:1.5pt" o:hralign="center" o:hrstd="t" o:hr="t"/>
        </w:pict>
      </w:r>
    </w:p>
    <w:bookmarkEnd w:id="25"/>
    <w:bookmarkStart w:id="27" w:name="input-you-use-not-a-rule-you-meet"/>
    <w:p>
      <w:pPr>
        <w:pStyle w:val="Heading2"/>
      </w:pPr>
      <w:r>
        <w:t xml:space="preserve">Input you use, not a rule you meet</w:t>
      </w:r>
    </w:p>
    <w:p>
      <w:pPr>
        <w:pStyle w:val="FirstParagraph"/>
      </w:pPr>
      <w:r>
        <w:t xml:space="preserve">You cannot conform to any of these, and knowing that ends several arguments. It does not mean skip</w:t>
      </w:r>
      <w:r>
        <w:t xml:space="preserve"> </w:t>
      </w:r>
      <w:r>
        <w:t xml:space="preserve">them: a software producer uses every one. A dependency policy is written in vulnerability</w:t>
      </w:r>
      <w:r>
        <w:t xml:space="preserve"> </w:t>
      </w:r>
      <w:r>
        <w:t xml:space="preserve">identifiers, a scanner reports in weakness identifiers, an SBOM is emitted in one of two formats,</w:t>
      </w:r>
      <w:r>
        <w:t xml:space="preserve"> </w:t>
      </w:r>
      <w:r>
        <w:t xml:space="preserve">and a requirements document borrows the quality vocabulary. What can put you under an obligation is</w:t>
      </w:r>
      <w:r>
        <w:t xml:space="preserve"> </w:t>
      </w:r>
      <w:r>
        <w:t xml:space="preserve">the policy, the contract or the vulnerability management program that quotes one of these, never the</w:t>
      </w:r>
      <w:r>
        <w:t xml:space="preserve"> </w:t>
      </w:r>
      <w:r>
        <w:t xml:space="preserve">document itself -- so use them, and look elsewhere for the demand.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CWE 4.20</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CVE Program</w:t>
            </w:r>
          </w:p>
        </w:tc>
        <w:tc>
          <w:tcPr/>
          <w:p>
            <w:pPr>
              <w:pStyle w:val="Compact"/>
            </w:pPr>
            <w:r>
              <w:t xml:space="preserve">Identifiers and records. Not severity, not exploitability, not priority.</w:t>
            </w:r>
          </w:p>
        </w:tc>
        <w:tc>
          <w:tcPr/>
          <w:p>
            <w:pPr>
              <w:pStyle w:val="Compact"/>
            </w:pPr>
            <w:r>
              <w:t xml:space="preserve">A dependency policy, a customer contract or support agreement, or your own vulnerability management -- covering both what you consume and what you ship. The program demands nothing itself: what obliges anyone to act on a published identifier is the policy or the clause that quotes it.</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SBOM formats: SPDX (ISO/IEC 5962:2021) and CycloneDX (ECMA-424, 2nd edition)</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ISO/IEC 25010:2023</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bl>
    <w:p>
      <w:pPr>
        <w:pStyle w:val="BodyText"/>
      </w:pPr>
      <w:hyperlink r:id="rId26">
        <w:r>
          <w:rPr>
            <w:rStyle w:val="Hyperlink"/>
          </w:rPr>
          <w:t xml:space="preserve">Code quality</w:t>
        </w:r>
      </w:hyperlink>
      <w:r>
        <w:t xml:space="preserve"> </w:t>
      </w:r>
      <w:r>
        <w:t xml:space="preserve">already cites the current edition of the product quality model for</w:t>
      </w:r>
      <w:r>
        <w:t xml:space="preserve"> </w:t>
      </w:r>
      <w:r>
        <w:t xml:space="preserve">its own purposes.</w:t>
      </w:r>
    </w:p>
    <w:p>
      <w:r>
        <w:pict>
          <v:rect style="width:0;height:1.5pt" o:hralign="center" o:hrstd="t" o:hr="t"/>
        </w:pict>
      </w:r>
    </w:p>
    <w:bookmarkEnd w:id="27"/>
    <w:bookmarkStart w:id="28" w:name="who-a-document-is-addressed-to"/>
    <w:p>
      <w:pPr>
        <w:pStyle w:val="Heading2"/>
      </w:pPr>
      <w:r>
        <w:t xml:space="preserve">Who a document is addressed to</w:t>
      </w:r>
    </w:p>
    <w:p>
      <w:pPr>
        <w:pStyle w:val="FirstParagraph"/>
      </w:pPr>
      <w:r>
        <w:rPr>
          <w:b/>
          <w:bCs/>
        </w:rPr>
        <w:t xml:space="preserve">The rows are above. This section and the three after it are the argument, and skipping them costs</w:t>
      </w:r>
      <w:r>
        <w:rPr>
          <w:b/>
          <w:bCs/>
        </w:rPr>
        <w:t xml:space="preserve"> </w:t>
      </w:r>
      <w:r>
        <w:rPr>
          <w:b/>
          <w:bCs/>
        </w:rPr>
        <w:t xml:space="preserve">you nothing above.</w:t>
      </w:r>
      <w:r>
        <w:t xml:space="preserve"> </w:t>
      </w:r>
      <w:r>
        <w:t xml:space="preserve">They cover the cut the tables sort on, the layer distinction that decides what</w:t>
      </w:r>
      <w:r>
        <w:t xml:space="preserve"> </w:t>
      </w:r>
      <w:r>
        <w:t xml:space="preserve">an instrument is evidence of, the routes by which any of this arrives, and why a status without a</w:t>
      </w:r>
      <w:r>
        <w:t xml:space="preserve"> </w:t>
      </w:r>
      <w:r>
        <w:t xml:space="preserve">date is worthless. If you came here to look one thing up, you are done.</w:t>
      </w:r>
    </w:p>
    <w:p>
      <w:pPr>
        <w:pStyle w:val="BodyText"/>
      </w:pPr>
      <w:r>
        <w:t xml:space="preserve">The addressee is the most stable fact about a document. Status, trigger and enforcement machinery</w:t>
      </w:r>
      <w:r>
        <w:t xml:space="preserve"> </w:t>
      </w:r>
      <w:r>
        <w:t xml:space="preserve">change constantly; the audience almost never does. That is why this page sorts on it, and why the</w:t>
      </w:r>
      <w:r>
        <w:t xml:space="preserve"> </w:t>
      </w:r>
      <w:r>
        <w:t xml:space="preserve">question is asked before any of the others. The test it runs is whose conduct a document's sentences</w:t>
      </w:r>
      <w:r>
        <w:t xml:space="preserve"> </w:t>
      </w:r>
      <w:r>
        <w:t xml:space="preserve">purport to govern -- not whether the document succeeds in obliging anyone on its own, which most of</w:t>
      </w:r>
      <w:r>
        <w:t xml:space="preserve"> </w:t>
      </w:r>
      <w:r>
        <w:t xml:space="preserve">them do not. What obliges you is the clause, the policy or the regime that quotes the document, and</w:t>
      </w:r>
      <w:r>
        <w:t xml:space="preserve"> </w:t>
      </w:r>
      <w:r>
        <w:t xml:space="preserve">that is the trigger column's question rather than this one.</w:t>
      </w:r>
    </w:p>
    <w:p>
      <w:pPr>
        <w:pStyle w:val="BodyText"/>
      </w:pPr>
      <w:r>
        <w:rPr>
          <w:b/>
          <w:bCs/>
        </w:rPr>
        <w:t xml:space="preserve">This is about who the sentences bind, not what the document is about.</w:t>
      </w:r>
      <w:r>
        <w:t xml:space="preserve"> </w:t>
      </w:r>
      <w:r>
        <w:t xml:space="preserve">The two come apart, and</w:t>
      </w:r>
      <w:r>
        <w:t xml:space="preserve"> </w:t>
      </w:r>
      <w:r>
        <w:t xml:space="preserve">that is the whole value of the cut. A publication can be entirely about how software gets built and</w:t>
      </w:r>
      <w:r>
        <w:t xml:space="preserve"> </w:t>
      </w:r>
      <w:r>
        <w:t xml:space="preserve">still be addressed to an organization, not a product -- its development controls are written</w:t>
      </w:r>
      <w:r>
        <w:t xml:space="preserve"> </w:t>
      </w:r>
      <w:r>
        <w:t xml:space="preserve">to bind an entity with personnel, facilities and an authorization boundary, not to bind a build.</w:t>
      </w:r>
      <w:r>
        <w:t xml:space="preserve"> </w:t>
      </w:r>
      <w:r>
        <w:t xml:space="preserve">Sorting by subject matter puts such a document next to a producer framework and invites a producer to</w:t>
      </w:r>
      <w:r>
        <w:t xml:space="preserve"> </w:t>
      </w:r>
      <w:r>
        <w:t xml:space="preserve">answer requirements that were never asked of them.</w:t>
      </w:r>
    </w:p>
    <w:p>
      <w:pPr>
        <w:pStyle w:val="BodyText"/>
      </w:pPr>
      <w:r>
        <w:rPr>
          <w:b/>
          <w:bCs/>
        </w:rPr>
        <w:t xml:space="preserve">"Makes demands of an assessor" does not mean "what an auditor will ask you for".</w:t>
      </w:r>
      <w:r>
        <w:t xml:space="preserve"> </w:t>
      </w:r>
      <w:r>
        <w:t xml:space="preserve">It means the</w:t>
      </w:r>
      <w:r>
        <w:t xml:space="preserve"> </w:t>
      </w:r>
      <w:r>
        <w:t xml:space="preserve">document tells someone how to conduct an examination -- the procedure, and who may run it. These are</w:t>
      </w:r>
      <w:r>
        <w:t xml:space="preserve"> </w:t>
      </w:r>
      <w:r>
        <w:t xml:space="preserve">method manuals for the examiner, not the evidence you hand over. Read the other way, the natural next</w:t>
      </w:r>
      <w:r>
        <w:t xml:space="preserve"> </w:t>
      </w:r>
      <w:r>
        <w:t xml:space="preserve">move is to build to them, which manufactures controls nothing ever required. The selector on the</w:t>
      </w:r>
      <w:r>
        <w:t xml:space="preserve"> </w:t>
      </w:r>
      <w:r>
        <w:t xml:space="preserve">routing page puts every such item in its own block, under that label, for exactly this reason.</w:t>
      </w:r>
    </w:p>
    <w:p>
      <w:pPr>
        <w:pStyle w:val="BodyText"/>
      </w:pPr>
      <w:r>
        <w:rPr>
          <w:b/>
          <w:bCs/>
        </w:rPr>
        <w:t xml:space="preserve">The fourth label names a use rather than an audience, and that is deliberate.</w:t>
      </w:r>
      <w:r>
        <w:t xml:space="preserve"> </w:t>
      </w:r>
      <w:r>
        <w:t xml:space="preserve">Nothing in that</w:t>
      </w:r>
      <w:r>
        <w:t xml:space="preserve"> </w:t>
      </w:r>
      <w:r>
        <w:t xml:space="preserve">group is written at anybody: its documents define the terms other documents' sentences are written</w:t>
      </w:r>
      <w:r>
        <w:t xml:space="preserve"> </w:t>
      </w:r>
      <w:r>
        <w:t xml:space="preserve">in, rather than governing anyone's conduct. That is what separates it from the other three, and it</w:t>
      </w:r>
      <w:r>
        <w:t xml:space="preserve"> </w:t>
      </w:r>
      <w:r>
        <w:t xml:space="preserve">is a fact about normative status rather than about importance -- a producer uses every item in the</w:t>
      </w:r>
      <w:r>
        <w:t xml:space="preserve"> </w:t>
      </w:r>
      <w:r>
        <w:t xml:space="preserve">group. A dependency policy is written in vulnerability identifiers, a scanner reports in weakness</w:t>
      </w:r>
      <w:r>
        <w:t xml:space="preserve"> </w:t>
      </w:r>
      <w:r>
        <w:t xml:space="preserve">identifiers, an SBOM is emitted in one of two formats, and a requirements document borrows the</w:t>
      </w:r>
      <w:r>
        <w:t xml:space="preserve"> </w:t>
      </w:r>
      <w:r>
        <w:t xml:space="preserve">quality vocabulary. Labeling the group by the absence invites a reader to skip it, which is the</w:t>
      </w:r>
      <w:r>
        <w:t xml:space="preserve"> </w:t>
      </w:r>
      <w:r>
        <w:t xml:space="preserve">wrong move for material their own policies are written in. Where a demand does exist it comes from</w:t>
      </w:r>
      <w:r>
        <w:t xml:space="preserve"> </w:t>
      </w:r>
      <w:r>
        <w:t xml:space="preserve">the policy, the contract or the vulnerability management program that quotes the document, never</w:t>
      </w:r>
      <w:r>
        <w:t xml:space="preserve"> </w:t>
      </w:r>
      <w:r>
        <w:t xml:space="preserve">from the document, so each row's trigger cell names that source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Makes demands of</w:t>
            </w:r>
          </w:p>
        </w:tc>
        <w:tc>
          <w:tcPr/>
          <w:p>
            <w:pPr>
              <w:pStyle w:val="Compact"/>
            </w:pPr>
            <w:r>
              <w:t xml:space="preserve">What it is describing</w:t>
            </w:r>
          </w:p>
        </w:tc>
        <w:tc>
          <w:tcPr/>
          <w:p>
            <w:pPr>
              <w:pStyle w:val="Compact"/>
            </w:pPr>
            <w:r>
              <w:t xml:space="preserve">The failure when you get it wrong</w:t>
            </w:r>
          </w:p>
        </w:tc>
      </w:tr>
      <w:tr>
        <w:tc>
          <w:tcPr/>
          <w:p>
            <w:pPr>
              <w:pStyle w:val="Compact"/>
            </w:pPr>
            <w:r>
              <w:rPr>
                <w:b/>
                <w:bCs/>
              </w:rPr>
              <w:t xml:space="preserve">A software producer</w:t>
            </w:r>
          </w:p>
        </w:tc>
        <w:tc>
          <w:tcPr/>
          <w:p>
            <w:pPr>
              <w:pStyle w:val="Compact"/>
            </w:pPr>
            <w:r>
              <w:t xml:space="preserve">How code is built, reviewed, released and evidenced</w:t>
            </w:r>
          </w:p>
        </w:tc>
        <w:tc>
          <w:tcPr/>
          <w:p>
            <w:pPr>
              <w:pStyle w:val="Compact"/>
            </w:pPr>
            <w:r>
              <w:t xml:space="preserve">An operating-environment instrument offered as evidence about a build practice it never examined</w:t>
            </w:r>
          </w:p>
        </w:tc>
      </w:tr>
      <w:tr>
        <w:tc>
          <w:tcPr/>
          <w:p>
            <w:pPr>
              <w:pStyle w:val="Compact"/>
            </w:pPr>
            <w:r>
              <w:rPr>
                <w:b/>
                <w:bCs/>
              </w:rPr>
              <w:t xml:space="preserve">An organization, not a product</w:t>
            </w:r>
          </w:p>
        </w:tc>
        <w:tc>
          <w:tcPr/>
          <w:p>
            <w:pPr>
              <w:pStyle w:val="Compact"/>
            </w:pPr>
            <w:r>
              <w:t xml:space="preserve">How an entity runs, governs and secures itself -- its program, people, processes and, where it has them, the systems it operates and its authorization boundary</w:t>
            </w:r>
          </w:p>
        </w:tc>
        <w:tc>
          <w:tcPr/>
          <w:p>
            <w:pPr>
              <w:pStyle w:val="Compact"/>
            </w:pPr>
            <w:r>
              <w:t xml:space="preserve">A management-system or program instrument offered as evidence that a product is secure</w:t>
            </w:r>
          </w:p>
        </w:tc>
      </w:tr>
      <w:tr>
        <w:tc>
          <w:tcPr/>
          <w:p>
            <w:pPr>
              <w:pStyle w:val="Compact"/>
            </w:pPr>
            <w:r>
              <w:rPr>
                <w:b/>
                <w:bCs/>
              </w:rPr>
              <w:t xml:space="preserve">An assessor</w:t>
            </w:r>
          </w:p>
        </w:tc>
        <w:tc>
          <w:tcPr/>
          <w:p>
            <w:pPr>
              <w:pStyle w:val="Compact"/>
            </w:pPr>
            <w:r>
              <w:t xml:space="preserve">How an audit or examination is conducted, and by whom</w:t>
            </w:r>
          </w:p>
        </w:tc>
        <w:tc>
          <w:tcPr/>
          <w:p>
            <w:pPr>
              <w:pStyle w:val="Compact"/>
            </w:pPr>
            <w:r>
              <w:t xml:space="preserve">Assessor rules read as requirements on yourself, producing controls the standard never asked for</w:t>
            </w:r>
          </w:p>
        </w:tc>
      </w:tr>
      <w:tr>
        <w:tc>
          <w:tcPr/>
          <w:p>
            <w:pPr>
              <w:pStyle w:val="Compact"/>
            </w:pPr>
            <w:r>
              <w:rPr>
                <w:b/>
                <w:bCs/>
              </w:rPr>
              <w:t xml:space="preserve">Input you use, not a rule you meet</w:t>
            </w:r>
          </w:p>
        </w:tc>
        <w:tc>
          <w:tcPr/>
          <w:p>
            <w:pPr>
              <w:pStyle w:val="Compact"/>
            </w:pPr>
            <w:r>
              <w:t xml:space="preserve">Identifier spaces, formats and vocabularies that policies, scanners and contracts are written in. A producer uses all of them and conforms to none of them</w:t>
            </w:r>
          </w:p>
        </w:tc>
        <w:tc>
          <w:tcPr/>
          <w:p>
            <w:pPr>
              <w:pStyle w:val="Compact"/>
            </w:pPr>
            <w:r>
              <w:t xml:space="preserve">Read as "skip this". Also an identifier read as a severity, or a format's standards-body lineage read as a compliance grade</w:t>
            </w:r>
          </w:p>
        </w:tc>
      </w:tr>
    </w:tbl>
    <w:p>
      <w:pPr>
        <w:pStyle w:val="BodyText"/>
      </w:pPr>
      <w:r>
        <w:rPr>
          <w:b/>
          <w:bCs/>
        </w:rPr>
        <w:t xml:space="preserve">One row, one place.</w:t>
      </w:r>
      <w:r>
        <w:t xml:space="preserve"> </w:t>
      </w:r>
      <w:r>
        <w:t xml:space="preserve">Every item appears exactly once above. An item addressing two audiences is</w:t>
      </w:r>
      <w:r>
        <w:t xml:space="preserve"> </w:t>
      </w:r>
      <w:r>
        <w:t xml:space="preserve">placed where the cost of acting lands.</w:t>
      </w:r>
    </w:p>
    <w:p>
      <w:r>
        <w:pict>
          <v:rect style="width:0;height:1.5pt" o:hralign="center" o:hrstd="t" o:hr="t"/>
        </w:pict>
      </w:r>
    </w:p>
    <w:bookmarkEnd w:id="28"/>
    <w:bookmarkStart w:id="29" w:name="Xec54665e908c89ecc68195cf1b924f4fd00fad3"/>
    <w:p>
      <w:pPr>
        <w:pStyle w:val="Heading2"/>
      </w:pPr>
      <w:r>
        <w:t xml:space="preserve">The organization layer is not the software layer</w:t>
      </w:r>
    </w:p>
    <w:p>
      <w:pPr>
        <w:pStyle w:val="FirstParagraph"/>
      </w:pPr>
      <w:r>
        <w:rPr>
          <w:b/>
          <w:bCs/>
        </w:rPr>
        <w:t xml:space="preserve">This is the single most useful sentence on the subject.</w:t>
      </w:r>
      <w:r>
        <w:t xml:space="preserve"> </w:t>
      </w:r>
      <w:r>
        <w:t xml:space="preserve">A buyer asks a software vendor for a</w:t>
      </w:r>
      <w:r>
        <w:t xml:space="preserve"> </w:t>
      </w:r>
      <w:r>
        <w:t xml:space="preserve">certificate or an audit report and reads the answer as evidence about the SOFTWARE. Those instruments</w:t>
      </w:r>
      <w:r>
        <w:t xml:space="preserve"> </w:t>
      </w:r>
      <w:r>
        <w:t xml:space="preserve">are evidence about the ORGANIZATION. A vendor can hold every one of them and still ship insecure</w:t>
      </w:r>
      <w:r>
        <w:t xml:space="preserve"> </w:t>
      </w:r>
      <w:r>
        <w:t xml:space="preserve">code, because none of them looked at the code.</w:t>
      </w:r>
    </w:p>
    <w:p>
      <w:pPr>
        <w:pStyle w:val="BodyText"/>
      </w:pPr>
      <w:r>
        <w:t xml:space="preserve">That does not make them worthless. They establish that a company has a functioning security program,</w:t>
      </w:r>
      <w:r>
        <w:t xml:space="preserve"> </w:t>
      </w:r>
      <w:r>
        <w:t xml:space="preserve">which is a real thing to know and worth paying for. They simply do not answer "is this product</w:t>
      </w:r>
      <w:r>
        <w:t xml:space="preserve"> </w:t>
      </w:r>
      <w:r>
        <w:t xml:space="preserve">secure", and the failure is reading them as though they did.</w:t>
      </w:r>
    </w:p>
    <w:p>
      <w:pPr>
        <w:pStyle w:val="BodyText"/>
      </w:pPr>
      <w:r>
        <w:t xml:space="preserve">Three of them below, presented as members of a set alongside the payment-chain validation</w:t>
      </w:r>
      <w:r>
        <w:t xml:space="preserve"> </w:t>
      </w:r>
      <w:r>
        <w:t xml:space="preserve">instruments, the two cloud program authorizations, and the law-enforcement-data policy that sit in</w:t>
      </w:r>
      <w:r>
        <w:t xml:space="preserve"> </w:t>
      </w:r>
      <w:r>
        <w:t xml:space="preserve">the same layer. Full rows, with statuses and the check date, are under</w:t>
      </w:r>
      <w:r>
        <w:t xml:space="preserve"> </w:t>
      </w:r>
      <w:hyperlink w:anchor="certification-and-program-regimes">
        <w:r>
          <w:rPr>
            <w:rStyle w:val="Hyperlink"/>
          </w:rPr>
          <w:t xml:space="preserve">certification and program regimes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instrument</w:t>
            </w:r>
          </w:p>
        </w:tc>
        <w:tc>
          <w:tcPr/>
          <w:p>
            <w:pPr>
              <w:pStyle w:val="Compact"/>
            </w:pPr>
            <w:r>
              <w:t xml:space="preserve">What it actually is</w:t>
            </w:r>
          </w:p>
        </w:tc>
        <w:tc>
          <w:tcPr/>
          <w:p>
            <w:pPr>
              <w:pStyle w:val="Compact"/>
            </w:pPr>
            <w:r>
              <w:t xml:space="preserve">The question that makes it useful</w:t>
            </w:r>
          </w:p>
        </w:tc>
      </w:tr>
      <w:tr>
        <w:tc>
          <w:tcPr/>
          <w:p>
            <w:pPr>
              <w:pStyle w:val="Compact"/>
            </w:pPr>
            <w:r>
              <w:rPr>
                <w:b/>
                <w:bCs/>
              </w:rPr>
              <w:t xml:space="preserve">An examination report on a service organization</w:t>
            </w:r>
          </w:p>
        </w:tc>
        <w:tc>
          <w:tcPr/>
          <w:p>
            <w:pPr>
              <w:pStyle w:val="Compact"/>
            </w:pPr>
            <w:r>
              <w:t xml:space="preserve">A licensed firm's opinion against elected criteria, restricted in use, with no pass mark and no certificate. Type 2 covers operating effectiveness over a period, typically six to twelve months; Type 1 is a point-in-time design opinion only</w:t>
            </w:r>
          </w:p>
        </w:tc>
        <w:tc>
          <w:tcPr/>
          <w:p>
            <w:pPr>
              <w:pStyle w:val="Compact"/>
            </w:pPr>
            <w:r>
              <w:t xml:space="preserve">Read the scope statement and the listed exceptions. A report with no exceptions over twelve months is unusual enough to be worth asking about. The cover page tells you nothing</w:t>
            </w:r>
          </w:p>
        </w:tc>
      </w:tr>
      <w:tr>
        <w:tc>
          <w:tcPr/>
          <w:p>
            <w:pPr>
              <w:pStyle w:val="Compact"/>
            </w:pPr>
            <w:r>
              <w:rPr>
                <w:b/>
                <w:bCs/>
              </w:rPr>
              <w:t xml:space="preserve">A management-system certificate from an accredited body</w:t>
            </w:r>
          </w:p>
        </w:tc>
        <w:tc>
          <w:tcPr/>
          <w:p>
            <w:pPr>
              <w:pStyle w:val="Compact"/>
            </w:pPr>
            <w:r>
              <w:t xml:space="preserve">A certificate for a stated scope, issued by a certification body rather than by the standards publisher. Universally called "the international" version of the report above, and it is a different instrument with a different failure mode</w:t>
            </w:r>
          </w:p>
        </w:tc>
        <w:tc>
          <w:tcPr/>
          <w:p>
            <w:pPr>
              <w:pStyle w:val="Compact"/>
            </w:pPr>
            <w:r>
              <w:t xml:space="preserve">Read the scope statement on the certificate. A certificate whose scope covers one office or one business unit is common, and is not what the reader assumes</w:t>
            </w:r>
          </w:p>
        </w:tc>
      </w:tr>
      <w:tr>
        <w:tc>
          <w:tcPr/>
          <w:p>
            <w:pPr>
              <w:pStyle w:val="Compact"/>
            </w:pPr>
            <w:r>
              <w:rPr>
                <w:b/>
                <w:bCs/>
              </w:rPr>
              <w:t xml:space="preserve">A validated assessment of an organization's controls and environment</w:t>
            </w:r>
          </w:p>
        </w:tc>
        <w:tc>
          <w:tcPr/>
          <w:p>
            <w:pPr>
              <w:pStyle w:val="Compact"/>
            </w:pPr>
            <w:r>
              <w:t xml:space="preserve">A third-party validated result at one of several named tiers, which are not interchangeable. Explicitly not a software product certification: there is no path by which distributable software is certified, though the environment operating it can be</w:t>
            </w:r>
          </w:p>
        </w:tc>
        <w:tc>
          <w:tcPr/>
          <w:p>
            <w:pPr>
              <w:pStyle w:val="Compact"/>
            </w:pPr>
            <w:r>
              <w:t xml:space="preserve">Which tier, and what was in scope. Scope drives control count enormously -- the same highest tier can be a few hundred controls for one organization and a few thousand for another</w:t>
            </w:r>
          </w:p>
        </w:tc>
      </w:tr>
    </w:tbl>
    <w:p>
      <w:pPr>
        <w:pStyle w:val="BodyText"/>
      </w:pPr>
      <w:r>
        <w:rPr>
          <w:b/>
          <w:bCs/>
        </w:rPr>
        <w:t xml:space="preserve">If what you sell is distributed software rather than a hosted service, the product can sit entirely</w:t>
      </w:r>
      <w:r>
        <w:rPr>
          <w:b/>
          <w:bCs/>
        </w:rPr>
        <w:t xml:space="preserve"> </w:t>
      </w:r>
      <w:r>
        <w:rPr>
          <w:b/>
          <w:bCs/>
        </w:rPr>
        <w:t xml:space="preserve">outside the scope boundary of every row above.</w:t>
      </w:r>
      <w:r>
        <w:t xml:space="preserve"> </w:t>
      </w:r>
      <w:r>
        <w:t xml:space="preserve">That is not a loophole and not an accusation; it is</w:t>
      </w:r>
      <w:r>
        <w:t xml:space="preserve"> </w:t>
      </w:r>
      <w:r>
        <w:t xml:space="preserve">what the scope statement says, and it is why the third column of that table is the column that</w:t>
      </w:r>
      <w:r>
        <w:t xml:space="preserve"> </w:t>
      </w:r>
      <w:r>
        <w:t xml:space="preserve">matters.</w:t>
      </w:r>
    </w:p>
    <w:p>
      <w:pPr>
        <w:pStyle w:val="BodyText"/>
      </w:pPr>
      <w:r>
        <w:t xml:space="preserve">The cloud program authorizations belong in this layer for the same reason: they assess a service</w:t>
      </w:r>
      <w:r>
        <w:t xml:space="preserve"> </w:t>
      </w:r>
      <w:r>
        <w:t xml:space="preserve">offering you operate, which is why they sit with the operating organization even though a software</w:t>
      </w:r>
      <w:r>
        <w:t xml:space="preserve"> </w:t>
      </w:r>
      <w:r>
        <w:t xml:space="preserve">company usually pays for them.</w:t>
      </w:r>
    </w:p>
    <w:p>
      <w:r>
        <w:pict>
          <v:rect style="width:0;height:1.5pt" o:hralign="center" o:hrstd="t" o:hr="t"/>
        </w:pict>
      </w:r>
    </w:p>
    <w:bookmarkEnd w:id="29"/>
    <w:bookmarkStart w:id="30" w:name="how-these-actually-arrive"/>
    <w:p>
      <w:pPr>
        <w:pStyle w:val="Heading2"/>
      </w:pPr>
      <w:r>
        <w:t xml:space="preserve">How these actually arrive</w:t>
      </w:r>
    </w:p>
    <w:p>
      <w:pPr>
        <w:pStyle w:val="FirstParagraph"/>
      </w:pPr>
      <w:r>
        <w:t xml:space="preserve">At least five routes. This is the part that decides where budget and ownership land, because the</w:t>
      </w:r>
      <w:r>
        <w:t xml:space="preserve"> </w:t>
      </w:r>
      <w:r>
        <w:t xml:space="preserve">route determines the owner far more reliably than the subject does.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 in</w:t>
            </w:r>
          </w:p>
        </w:tc>
        <w:tc>
          <w:tcPr/>
          <w:p>
            <w:pPr>
              <w:pStyle w:val="Compact"/>
            </w:pPr>
            <w:r>
              <w:t xml:space="preserve">What it looks like on the day</w:t>
            </w:r>
          </w:p>
        </w:tc>
        <w:tc>
          <w:tcPr/>
          <w:p>
            <w:pPr>
              <w:pStyle w:val="Compact"/>
            </w:pPr>
            <w:r>
              <w:t xml:space="preserve">What actually governs</w:t>
            </w:r>
          </w:p>
        </w:tc>
        <w:tc>
          <w:tcPr/>
          <w:p>
            <w:pPr>
              <w:pStyle w:val="Compact"/>
            </w:pPr>
            <w:r>
              <w:t xml:space="preserve">Who owns the response internally</w:t>
            </w:r>
          </w:p>
        </w:tc>
      </w:tr>
      <w:tr>
        <w:tc>
          <w:tcPr/>
          <w:p>
            <w:pPr>
              <w:pStyle w:val="Compact"/>
            </w:pPr>
            <w:r>
              <w:rPr>
                <w:b/>
                <w:bCs/>
              </w:rPr>
              <w:t xml:space="preserve">Direct binding on a producer</w:t>
            </w:r>
          </w:p>
        </w:tc>
        <w:tc>
          <w:tcPr/>
          <w:p>
            <w:pPr>
              <w:pStyle w:val="Compact"/>
            </w:pPr>
            <w:r>
              <w:t xml:space="preserve">A market-access rule you satisfy before you ship, with no customer asking</w:t>
            </w:r>
          </w:p>
        </w:tc>
        <w:tc>
          <w:tcPr/>
          <w:p>
            <w:pPr>
              <w:pStyle w:val="Compact"/>
            </w:pPr>
            <w:r>
              <w:t xml:space="preserve">The regulation and the conformity route it sets</w:t>
            </w:r>
          </w:p>
        </w:tc>
        <w:tc>
          <w:tcPr/>
          <w:p>
            <w:pPr>
              <w:pStyle w:val="Compact"/>
            </w:pPr>
            <w:r>
              <w:t xml:space="preserve">Engineering and release, not the compliance function</w:t>
            </w:r>
          </w:p>
        </w:tc>
      </w:tr>
      <w:tr>
        <w:tc>
          <w:tcPr/>
          <w:p>
            <w:pPr>
              <w:pStyle w:val="Compact"/>
            </w:pPr>
            <w:r>
              <w:rPr>
                <w:b/>
                <w:bCs/>
              </w:rPr>
              <w:t xml:space="preserve">A clause in one specific contract, or a flow-down from a prime</w:t>
            </w:r>
          </w:p>
        </w:tc>
        <w:tc>
          <w:tcPr/>
          <w:p>
            <w:pPr>
              <w:pStyle w:val="Compact"/>
            </w:pPr>
            <w:r>
              <w:t xml:space="preserve">A clause number in a solicitation or an award</w:t>
            </w:r>
          </w:p>
        </w:tc>
        <w:tc>
          <w:tcPr/>
          <w:p>
            <w:pPr>
              <w:pStyle w:val="Compact"/>
            </w:pPr>
            <w:r>
              <w:t xml:space="preserve">The clause text, plus any deviation that modifies it. Not the publication it cites</w:t>
            </w:r>
          </w:p>
        </w:tc>
        <w:tc>
          <w:tcPr/>
          <w:p>
            <w:pPr>
              <w:pStyle w:val="Compact"/>
            </w:pPr>
            <w:r>
              <w:t xml:space="preserve">Contracts, with security supplying the evidence</w:t>
            </w:r>
          </w:p>
        </w:tc>
      </w:tr>
      <w:tr>
        <w:tc>
          <w:tcPr/>
          <w:p>
            <w:pPr>
              <w:pStyle w:val="Compact"/>
            </w:pPr>
            <w:r>
              <w:rPr>
                <w:b/>
                <w:bCs/>
              </w:rPr>
              <w:t xml:space="preserve">A supplier-risk clause inside somebody else's regime -- the questionnaire</w:t>
            </w:r>
          </w:p>
        </w:tc>
        <w:tc>
          <w:tcPr/>
          <w:p>
            <w:pPr>
              <w:pStyle w:val="Compact"/>
            </w:pPr>
            <w:r>
              <w:t xml:space="preserve">A spreadsheet quoting identifiers drawn from several unrelated documents</w:t>
            </w:r>
          </w:p>
        </w:tc>
        <w:tc>
          <w:tcPr/>
          <w:p>
            <w:pPr>
              <w:pStyle w:val="Compact"/>
            </w:pPr>
            <w:r>
              <w:t xml:space="preserve">Their obligation, not yours. It never binds you; it obliges them to ask</w:t>
            </w:r>
          </w:p>
        </w:tc>
        <w:tc>
          <w:tcPr/>
          <w:p>
            <w:pPr>
              <w:pStyle w:val="Compact"/>
            </w:pPr>
            <w:r>
              <w:t xml:space="preserve">Security with sales, and it is the largest recurring cost in this table</w:t>
            </w:r>
          </w:p>
        </w:tc>
      </w:tr>
      <w:tr>
        <w:tc>
          <w:tcPr/>
          <w:p>
            <w:pPr>
              <w:pStyle w:val="Compact"/>
            </w:pPr>
            <w:r>
              <w:rPr>
                <w:b/>
                <w:bCs/>
              </w:rPr>
              <w:t xml:space="preserve">A procurement or payment-chain agreement</w:t>
            </w:r>
          </w:p>
        </w:tc>
        <w:tc>
          <w:tcPr/>
          <w:p>
            <w:pPr>
              <w:pStyle w:val="Compact"/>
            </w:pPr>
            <w:r>
              <w:t xml:space="preserve">A program status or a validation requirement as a condition of the deal</w:t>
            </w:r>
          </w:p>
        </w:tc>
        <w:tc>
          <w:tcPr/>
          <w:p>
            <w:pPr>
              <w:pStyle w:val="Compact"/>
            </w:pPr>
            <w:r>
              <w:t xml:space="preserve">The program's or the counterparty's own rules, which may not be the standard author's</w:t>
            </w:r>
          </w:p>
        </w:tc>
        <w:tc>
          <w:tcPr/>
          <w:p>
            <w:pPr>
              <w:pStyle w:val="Compact"/>
            </w:pPr>
            <w:r>
              <w:t xml:space="preserve">The program owner, usually outside security</w:t>
            </w:r>
          </w:p>
        </w:tc>
      </w:tr>
      <w:tr>
        <w:tc>
          <w:tcPr/>
          <w:p>
            <w:pPr>
              <w:pStyle w:val="Compact"/>
            </w:pPr>
            <w:r>
              <w:rPr>
                <w:b/>
                <w:bCs/>
              </w:rPr>
              <w:t xml:space="preserve">Your own risk decision</w:t>
            </w:r>
          </w:p>
        </w:tc>
        <w:tc>
          <w:tcPr/>
          <w:p>
            <w:pPr>
              <w:pStyle w:val="Compact"/>
            </w:pPr>
            <w:r>
              <w:t xml:space="preserve">Nobody asked. You adopted it</w:t>
            </w:r>
          </w:p>
        </w:tc>
        <w:tc>
          <w:tcPr/>
          <w:p>
            <w:pPr>
              <w:pStyle w:val="Compact"/>
            </w:pPr>
            <w:r>
              <w:t xml:space="preserve">Your own written scope, and nothing else</w:t>
            </w:r>
          </w:p>
        </w:tc>
        <w:tc>
          <w:tcPr/>
          <w:p>
            <w:pPr>
              <w:pStyle w:val="Compact"/>
            </w:pPr>
            <w:r>
              <w:t xml:space="preserve">Whoever proposed it, and that should be written down</w:t>
            </w:r>
          </w:p>
        </w:tc>
      </w:tr>
    </w:tbl>
    <w:p>
      <w:pPr>
        <w:pStyle w:val="BodyText"/>
      </w:pPr>
      <w:r>
        <w:rPr>
          <w:b/>
          <w:bCs/>
        </w:rPr>
        <w:t xml:space="preserve">Exactly one item on this page takes the first route.</w:t>
      </w:r>
      <w:r>
        <w:t xml:space="preserve"> </w:t>
      </w:r>
      <w:r>
        <w:t xml:space="preserve">The market-access regulation binds a</w:t>
      </w:r>
      <w:r>
        <w:t xml:space="preserve"> </w:t>
      </w:r>
      <w:r>
        <w:t xml:space="preserve">producer with nobody asking: placing a product with digital elements on that market is the trigger,</w:t>
      </w:r>
      <w:r>
        <w:t xml:space="preserve"> </w:t>
      </w:r>
      <w:r>
        <w:t xml:space="preserve">so where the product goes decides it and who buys it does not. Everything else arrives because</w:t>
      </w:r>
      <w:r>
        <w:t xml:space="preserve"> </w:t>
      </w:r>
      <w:r>
        <w:t xml:space="preserve">somebody asked -- a contracting officer inserted a clause, a prime flowed one down, a customer sent a</w:t>
      </w:r>
      <w:r>
        <w:t xml:space="preserve"> </w:t>
      </w:r>
      <w:r>
        <w:t xml:space="preserve">questionnaire, an acquirer set a validation requirement, or you adopted it yourself. So the first</w:t>
      </w:r>
      <w:r>
        <w:t xml:space="preserve"> </w:t>
      </w:r>
      <w:r>
        <w:t xml:space="preserve">question about any named standard is never "what does it say". It is</w:t>
      </w:r>
      <w:r>
        <w:t xml:space="preserve"> </w:t>
      </w:r>
      <w:r>
        <w:rPr>
          <w:b/>
          <w:bCs/>
        </w:rPr>
        <w:t xml:space="preserve">who is asking, and in which</w:t>
      </w:r>
      <w:r>
        <w:rPr>
          <w:b/>
          <w:bCs/>
        </w:rPr>
        <w:t xml:space="preserve"> </w:t>
      </w:r>
      <w:r>
        <w:rPr>
          <w:b/>
          <w:bCs/>
        </w:rPr>
        <w:t xml:space="preserve">document</w:t>
      </w:r>
      <w:r>
        <w:t xml:space="preserve">.</w:t>
      </w:r>
    </w:p>
    <w:p>
      <w:pPr>
        <w:pStyle w:val="BodyText"/>
      </w:pPr>
      <w:r>
        <w:t xml:space="preserve">The routine consequence is a budget in the wrong place. A market-access rule has to be satisfied</w:t>
      </w:r>
      <w:r>
        <w:t xml:space="preserve"> </w:t>
      </w:r>
      <w:r>
        <w:t xml:space="preserve">before shipping, so it is owned by engineering and release. Everything else is owned by whoever holds</w:t>
      </w:r>
      <w:r>
        <w:t xml:space="preserve"> </w:t>
      </w:r>
      <w:r>
        <w:t xml:space="preserve">the contract, with security supplying evidence. Sorting a program by subject matter puts both in the</w:t>
      </w:r>
      <w:r>
        <w:t xml:space="preserve"> </w:t>
      </w:r>
      <w:r>
        <w:t xml:space="preserve">same pile and gives them to the same team.</w:t>
      </w:r>
    </w:p>
    <w:p>
      <w:r>
        <w:pict>
          <v:rect style="width:0;height:1.5pt" o:hralign="center" o:hrstd="t" o:hr="t"/>
        </w:pict>
      </w:r>
    </w:p>
    <w:bookmarkEnd w:id="30"/>
    <w:bookmarkStart w:id="32" w:name="why-every-status-carries-a-date"/>
    <w:p>
      <w:pPr>
        <w:pStyle w:val="Heading2"/>
      </w:pPr>
      <w:r>
        <w:t xml:space="preserve">Why every status carries a date</w:t>
      </w:r>
    </w:p>
    <w:p>
      <w:pPr>
        <w:pStyle w:val="FirstParagraph"/>
      </w:pPr>
      <w:r>
        <w:t xml:space="preserve">Staleness takes at least five shapes. Naming them is worth more than any individual fact, because you</w:t>
      </w:r>
      <w:r>
        <w:t xml:space="preserve"> </w:t>
      </w:r>
      <w:r>
        <w:t xml:space="preserve">will meet a sixth.</w:t>
      </w:r>
    </w:p>
    <w:p>
      <w:pPr>
        <w:pStyle w:val="Compact"/>
        <w:numPr>
          <w:ilvl w:val="0"/>
          <w:numId w:val="1002"/>
        </w:numPr>
      </w:pPr>
      <w:r>
        <w:rPr>
          <w:b/>
          <w:bCs/>
        </w:rPr>
        <w:t xml:space="preserve">A mandate rescinded while its artifacts survive.</w:t>
      </w:r>
      <w:r>
        <w:t xml:space="preserve"> </w:t>
      </w:r>
      <w:r>
        <w:t xml:space="preserve">The instruction goes; the form, the signature</w:t>
      </w:r>
      <w:r>
        <w:t xml:space="preserve"> </w:t>
      </w:r>
      <w:r>
        <w:t xml:space="preserve">and any standing duty attached to it do not. The worked example is</w:t>
      </w:r>
      <w:r>
        <w:t xml:space="preserve"> </w:t>
      </w:r>
      <w:hyperlink w:anchor="requirement-shaped-items">
        <w:r>
          <w:rPr>
            <w:rStyle w:val="Hyperlink"/>
          </w:rPr>
          <w:t xml:space="preserve">the federal attestation chain</w:t>
        </w:r>
      </w:hyperlink>
      <w:r>
        <w:t xml:space="preserve"> </w:t>
      </w:r>
      <w:r>
        <w:t xml:space="preserve">above: told as one January 2026 event</w:t>
      </w:r>
      <w:r>
        <w:t xml:space="preserve"> </w:t>
      </w:r>
      <w:r>
        <w:t xml:space="preserve">when it was two, seven months apart, which loses the fact that the verification model was already</w:t>
      </w:r>
      <w:r>
        <w:t xml:space="preserve"> </w:t>
      </w:r>
      <w:r>
        <w:t xml:space="preserve">gone in mid-2025.</w:t>
      </w:r>
    </w:p>
    <w:p>
      <w:pPr>
        <w:pStyle w:val="Compact"/>
        <w:numPr>
          <w:ilvl w:val="0"/>
          <w:numId w:val="1002"/>
        </w:numPr>
      </w:pPr>
      <w:r>
        <w:rPr>
          <w:b/>
          <w:bCs/>
        </w:rPr>
        <w:t xml:space="preserve">A draft cited as though final.</w:t>
      </w:r>
      <w:r>
        <w:t xml:space="preserve"> </w:t>
      </w:r>
      <w:r>
        <w:t xml:space="preserve">The most common shape and the hardest to see, because a draft</w:t>
      </w:r>
      <w:r>
        <w:t xml:space="preserve"> </w:t>
      </w:r>
      <w:r>
        <w:t xml:space="preserve">and a final look identical once quoted in a policy.</w:t>
      </w:r>
    </w:p>
    <w:p>
      <w:pPr>
        <w:pStyle w:val="Compact"/>
        <w:numPr>
          <w:ilvl w:val="0"/>
          <w:numId w:val="1002"/>
        </w:numPr>
      </w:pPr>
      <w:r>
        <w:rPr>
          <w:b/>
          <w:bCs/>
        </w:rPr>
        <w:t xml:space="preserve">A published version that is not the version being audited.</w:t>
      </w:r>
      <w:r>
        <w:t xml:space="preserve"> </w:t>
      </w:r>
      <w:r>
        <w:t xml:space="preserve">The newest file on a publisher's</w:t>
      </w:r>
      <w:r>
        <w:t xml:space="preserve"> </w:t>
      </w:r>
      <w:r>
        <w:t xml:space="preserve">site is not automatically the assessment baseline.</w:t>
      </w:r>
    </w:p>
    <w:p>
      <w:pPr>
        <w:pStyle w:val="Compact"/>
        <w:numPr>
          <w:ilvl w:val="0"/>
          <w:numId w:val="1002"/>
        </w:numPr>
      </w:pPr>
      <w:r>
        <w:rPr>
          <w:b/>
          <w:bCs/>
        </w:rPr>
        <w:t xml:space="preserve">A rename.</w:t>
      </w:r>
      <w:r>
        <w:t xml:space="preserve"> </w:t>
      </w:r>
      <w:r>
        <w:t xml:space="preserve">Search stops working, and both names are often legitimately live at once.</w:t>
      </w:r>
    </w:p>
    <w:p>
      <w:pPr>
        <w:pStyle w:val="Compact"/>
        <w:numPr>
          <w:ilvl w:val="0"/>
          <w:numId w:val="1002"/>
        </w:numPr>
      </w:pPr>
      <w:r>
        <w:rPr>
          <w:b/>
          <w:bCs/>
        </w:rPr>
        <w:t xml:space="preserve">A milestone suspended by policy while the rule that set it stands unamended.</w:t>
      </w:r>
      <w:r>
        <w:t xml:space="preserve"> </w:t>
      </w:r>
      <w:r>
        <w:t xml:space="preserve">The rule text and</w:t>
      </w:r>
      <w:r>
        <w:t xml:space="preserve"> </w:t>
      </w:r>
      <w:r>
        <w:t xml:space="preserve">the operative position then disagree, and only one of them is in the publication. The defense</w:t>
      </w:r>
      <w:r>
        <w:t xml:space="preserve"> </w:t>
      </w:r>
      <w:r>
        <w:t xml:space="preserve">program's phases beyond the first, suspended on 2026-07-13 with neither rule amended nor repealed,</w:t>
      </w:r>
      <w:r>
        <w:t xml:space="preserve"> </w:t>
      </w:r>
      <w:r>
        <w:t xml:space="preserve">are the live example; its row above carries the full correction.</w:t>
      </w:r>
    </w:p>
    <w:p>
      <w:pPr>
        <w:pStyle w:val="FirstParagraph"/>
      </w:pPr>
      <w:r>
        <w:rPr>
          <w:b/>
          <w:bCs/>
        </w:rPr>
        <w:t xml:space="preserve">The instrument check.</w:t>
      </w:r>
      <w:r>
        <w:t xml:space="preserve"> </w:t>
      </w:r>
      <w:r>
        <w:t xml:space="preserve">What binds you is a clause, and a clause pins a dated version. So "use the</w:t>
      </w:r>
      <w:r>
        <w:t xml:space="preserve"> </w:t>
      </w:r>
      <w:r>
        <w:t xml:space="preserve">current publication" is frequently the wrong instruction: a regulation citing a publication by date</w:t>
      </w:r>
      <w:r>
        <w:t xml:space="preserve"> </w:t>
      </w:r>
      <w:r>
        <w:t xml:space="preserve">keeps citing it after the publisher supersedes it, which is how a rule stays stable rather than an</w:t>
      </w:r>
      <w:r>
        <w:t xml:space="preserve"> </w:t>
      </w:r>
      <w:r>
        <w:t xml:space="preserve">error in it. It is also why no identifier here appears without its version, revision, edition or</w:t>
      </w:r>
      <w:r>
        <w:t xml:space="preserve"> </w:t>
      </w:r>
      <w:r>
        <w:t xml:space="preserve">release -- a bare identifier resolves differently depending on when and where you look it up.</w:t>
      </w:r>
      <w:r>
        <w:t xml:space="preserve"> </w:t>
      </w:r>
      <w:hyperlink r:id="rId31">
        <w:r>
          <w:rPr>
            <w:rStyle w:val="Hyperlink"/>
          </w:rPr>
          <w:t xml:space="preserve">The assessment method page</w:t>
        </w:r>
      </w:hyperlink>
      <w:r>
        <w:t xml:space="preserve"> </w:t>
      </w:r>
      <w:r>
        <w:t xml:space="preserve">covers pinning a standard's corpus so it cannot</w:t>
      </w:r>
      <w:r>
        <w:t xml:space="preserve"> </w:t>
      </w:r>
      <w:r>
        <w:t xml:space="preserve">shift underneath an assessment already in progress.</w:t>
      </w:r>
    </w:p>
    <w:p>
      <w:r>
        <w:pict>
          <v:rect style="width:0;height:1.5pt" o:hralign="center" o:hrstd="t" o:hr="t"/>
        </w:pict>
      </w:r>
    </w:p>
    <w:bookmarkEnd w:id="32"/>
    <w:bookmarkStart w:id="33" w:name="what-is-not-primary-verified-here"/>
    <w:p>
      <w:pPr>
        <w:pStyle w:val="Heading2"/>
      </w:pPr>
      <w:r>
        <w:t xml:space="preserve">What is not primary-verified here</w:t>
      </w:r>
    </w:p>
    <w:p>
      <w:pPr>
        <w:pStyle w:val="FirstParagraph"/>
      </w:pPr>
      <w:r>
        <w:t xml:space="preserve">Each row names the check to run instead of trusting this page. One limit covers a whole class and is</w:t>
      </w:r>
      <w:r>
        <w:t xml:space="preserve"> </w:t>
      </w:r>
      <w:r>
        <w:t xml:space="preserve">stated once rather than repeated per row: several US regulator and agency sites refused automated</w:t>
      </w:r>
      <w:r>
        <w:t xml:space="preserve"> </w:t>
      </w:r>
      <w:r>
        <w:t xml:space="preserve">requests on the check date, so claims sourced to them were read through search results rather than</w:t>
      </w:r>
      <w:r>
        <w:t xml:space="preserve"> </w:t>
      </w:r>
      <w:r>
        <w:t xml:space="preserve">end to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is not primary-verified</w:t>
            </w:r>
          </w:p>
        </w:tc>
        <w:tc>
          <w:tcPr/>
          <w:p>
            <w:pPr>
              <w:pStyle w:val="Compact"/>
            </w:pPr>
            <w:r>
              <w:t xml:space="preserve">What to do instead</w:t>
            </w:r>
          </w:p>
        </w:tc>
      </w:tr>
      <w:tr>
        <w:tc>
          <w:tcPr/>
          <w:p>
            <w:pPr>
              <w:pStyle w:val="Compact"/>
            </w:pPr>
            <w:r>
              <w:t xml:space="preserve">The audit baseline version and dates for the law-enforcement-data policy, which rest on secondary reporting that disagrees with itself</w:t>
            </w:r>
          </w:p>
        </w:tc>
        <w:tc>
          <w:tcPr/>
          <w:p>
            <w:pPr>
              <w:pStyle w:val="Compact"/>
            </w:pPr>
            <w:r>
              <w:t xml:space="preserve">Confirm with the authority that will actually audit, on the date it will happen</w:t>
            </w:r>
          </w:p>
        </w:tc>
      </w:tr>
      <w:tr>
        <w:tc>
          <w:tcPr/>
          <w:p>
            <w:pPr>
              <w:pStyle w:val="Compact"/>
            </w:pPr>
            <w:r>
              <w:t xml:space="preserve">The primary text of the July 2026 defense phase suspension, which was not readable</w:t>
            </w:r>
          </w:p>
        </w:tc>
        <w:tc>
          <w:tcPr/>
          <w:p>
            <w:pPr>
              <w:pStyle w:val="Compact"/>
            </w:pPr>
            <w:r>
              <w:t xml:space="preserve">Confirm with the contracting officer before acting on it</w:t>
            </w:r>
          </w:p>
        </w:tc>
      </w:tr>
      <w:tr>
        <w:tc>
          <w:tcPr/>
          <w:p>
            <w:pPr>
              <w:pStyle w:val="Compact"/>
            </w:pPr>
            <w:r>
              <w:t xml:space="preserve">Whether the class deviation pinning the safeguarding clause to an earlier revision is still standing. It has no stated expiry, but the deviation document itself was not readable</w:t>
            </w:r>
          </w:p>
        </w:tc>
        <w:tc>
          <w:tcPr/>
          <w:p>
            <w:pPr>
              <w:pStyle w:val="Compact"/>
            </w:pPr>
            <w:r>
              <w:t xml:space="preserve">Ask the contracting officer, and check the current consolidated class deviation listing</w:t>
            </w:r>
          </w:p>
        </w:tc>
      </w:tr>
      <w:tr>
        <w:tc>
          <w:tcPr/>
          <w:p>
            <w:pPr>
              <w:pStyle w:val="Compact"/>
            </w:pPr>
            <w:r>
              <w:t xml:space="preserve">The model version currently generating the published exploit-probability scores</w:t>
            </w:r>
          </w:p>
        </w:tc>
        <w:tc>
          <w:tcPr/>
          <w:p>
            <w:pPr>
              <w:pStyle w:val="Compact"/>
            </w:pPr>
            <w:r>
              <w:t xml:space="preserve">Read the comment line in the published data file, not a blog post</w:t>
            </w:r>
          </w:p>
        </w:tc>
      </w:tr>
      <w:tr>
        <w:tc>
          <w:tcPr/>
          <w:p>
            <w:pPr>
              <w:pStyle w:val="Compact"/>
            </w:pPr>
            <w:r>
              <w:t xml:space="preserve">The field-level changes in the 2026 SBOM minimum elements</w:t>
            </w:r>
          </w:p>
        </w:tc>
        <w:tc>
          <w:tcPr/>
          <w:p>
            <w:pPr>
              <w:pStyle w:val="Compact"/>
            </w:pPr>
            <w:r>
              <w:t xml:space="preserve">Read the document, which is freely published</w:t>
            </w:r>
          </w:p>
        </w:tc>
      </w:tr>
      <w:tr>
        <w:tc>
          <w:tcPr/>
          <w:p>
            <w:pPr>
              <w:pStyle w:val="Compact"/>
            </w:pPr>
            <w:r>
              <w:t xml:space="preserve">The ISO catalog entries, and any clause-level ISO content</w:t>
            </w:r>
          </w:p>
        </w:tc>
        <w:tc>
          <w:tcPr/>
          <w:p>
            <w:pPr>
              <w:pStyle w:val="Compact"/>
            </w:pPr>
            <w:r>
              <w:t xml:space="preserve">Nothing to do without buying the text: automated requests are refused and the content is paywalled</w:t>
            </w:r>
          </w:p>
        </w:tc>
      </w:tr>
      <w:tr>
        <w:tc>
          <w:tcPr/>
          <w:p>
            <w:pPr>
              <w:pStyle w:val="Compact"/>
            </w:pPr>
            <w:r>
              <w:t xml:space="preserve">Whether any rescission of the securities disclosure rules has been adopted since the petition</w:t>
            </w:r>
          </w:p>
        </w:tc>
        <w:tc>
          <w:tcPr/>
          <w:p>
            <w:pPr>
              <w:pStyle w:val="Compact"/>
            </w:pPr>
            <w:r>
              <w:t xml:space="preserve">The publisher's own site refused automated requests, so no page was read end to end. Check the rulemaking index and the adopting-release listing directly</w:t>
            </w:r>
          </w:p>
        </w:tc>
      </w:tr>
      <w:tr>
        <w:tc>
          <w:tcPr/>
          <w:p>
            <w:pPr>
              <w:pStyle w:val="Compact"/>
            </w:pPr>
            <w:r>
              <w:t xml:space="preserve">The final publication date of the current web application ranking</w:t>
            </w:r>
          </w:p>
        </w:tc>
        <w:tc>
          <w:tcPr/>
          <w:p>
            <w:pPr>
              <w:pStyle w:val="Compact"/>
            </w:pPr>
            <w:r>
              <w:t xml:space="preserve">Read the project's own edition page, which carries the edition as current without stamping a date</w:t>
            </w:r>
          </w:p>
        </w:tc>
      </w:tr>
      <w:tr>
        <w:tc>
          <w:tcPr/>
          <w:p>
            <w:pPr>
              <w:pStyle w:val="Compact"/>
            </w:pPr>
            <w:r>
              <w:t xml:space="preserve">The audit-transition date for certification bodies, which comes from one accreditation body</w:t>
            </w:r>
          </w:p>
        </w:tc>
        <w:tc>
          <w:tcPr/>
          <w:p>
            <w:pPr>
              <w:pStyle w:val="Compact"/>
            </w:pPr>
            <w:r>
              <w:t xml:space="preserve">Ask your own certification body which date applies to it</w:t>
            </w:r>
          </w:p>
        </w:tc>
      </w:tr>
      <w:tr>
        <w:tc>
          <w:tcPr/>
          <w:p>
            <w:pPr>
              <w:pStyle w:val="Compact"/>
            </w:pPr>
            <w:r>
              <w:t xml:space="preserve">Whether any agency has issued replacement software assurance terms since the January 2026 rescission</w:t>
            </w:r>
          </w:p>
        </w:tc>
        <w:tc>
          <w:tcPr/>
          <w:p>
            <w:pPr>
              <w:pStyle w:val="Compact"/>
            </w:pPr>
            <w:r>
              <w:t xml:space="preserve">Ask the agency and read the contract. Nobody has consolidated this publicly, and it is where the practical answer now lives</w:t>
            </w:r>
          </w:p>
        </w:tc>
      </w:tr>
      <w:tr>
        <w:tc>
          <w:tcPr/>
          <w:p>
            <w:pPr>
              <w:pStyle w:val="Compact"/>
            </w:pPr>
            <w:r>
              <w:t xml:space="preserve">The tier detail for the validated-assessment program, which rests on secondary sources</w:t>
            </w:r>
          </w:p>
        </w:tc>
        <w:tc>
          <w:tcPr/>
          <w:p>
            <w:pPr>
              <w:pStyle w:val="Compact"/>
            </w:pPr>
            <w:r>
              <w:t xml:space="preserve">Verify anything more specific than the tier names and the scope-variance point at the publisher</w:t>
            </w:r>
          </w:p>
        </w:tc>
      </w:tr>
      <w:tr>
        <w:tc>
          <w:tcPr/>
          <w:p>
            <w:pPr>
              <w:pStyle w:val="Compact"/>
            </w:pPr>
            <w:r>
              <w:t xml:space="preserve">The discrepancy between one cloud program's claim of recognition by another and that other program's own published outcome</w:t>
            </w:r>
          </w:p>
        </w:tc>
        <w:tc>
          <w:tcPr/>
          <w:p>
            <w:pPr>
              <w:pStyle w:val="Compact"/>
            </w:pPr>
            <w:r>
              <w:t xml:space="preserve">Left open rather than resolved. Read both programs' own notices before repeating either claim</w:t>
            </w:r>
          </w:p>
        </w:tc>
      </w:tr>
    </w:tbl>
    <w:p>
      <w:pPr>
        <w:pStyle w:val="BodyText"/>
      </w:pPr>
      <w:r>
        <w:rPr>
          <w:b/>
          <w:bCs/>
        </w:rPr>
        <w:t xml:space="preserve">At least these claims rest on secondary analysis rather than a primary source</w:t>
      </w:r>
      <w:r>
        <w:t xml:space="preserve">, each also marked in</w:t>
      </w:r>
      <w:r>
        <w:t xml:space="preserve"> </w:t>
      </w:r>
      <w:r>
        <w:t xml:space="preserve">its own cell: the suspension of the defense program phases beyond the first; the standing of the class</w:t>
      </w:r>
      <w:r>
        <w:t xml:space="preserve"> </w:t>
      </w:r>
      <w:r>
        <w:t xml:space="preserve">deviation that pins the safeguarding clause to an earlier revision; the audit baseline for the</w:t>
      </w:r>
      <w:r>
        <w:t xml:space="preserve"> </w:t>
      </w:r>
      <w:r>
        <w:t xml:space="preserve">law-enforcement-data policy; the certificate transition end date for the 2013 management-system</w:t>
      </w:r>
      <w:r>
        <w:t xml:space="preserve"> </w:t>
      </w:r>
      <w:r>
        <w:t xml:space="preserve">edition; the projected date for the pending sector-rule overhaul; the finalization date of the current</w:t>
      </w:r>
      <w:r>
        <w:t xml:space="preserve"> </w:t>
      </w:r>
      <w:r>
        <w:t xml:space="preserve">web application ranking; the tier detail for the validated-assessment program; and the model version</w:t>
      </w:r>
      <w:r>
        <w:t xml:space="preserve"> </w:t>
      </w:r>
      <w:r>
        <w:t xml:space="preserve">behind the published exploit-probability scores.</w:t>
      </w:r>
    </w:p>
    <w:p>
      <w:pPr>
        <w:pStyle w:val="BodyText"/>
      </w:pPr>
      <w:r>
        <w:t xml:space="preserve">Where a claim on this page could not be confirmed at a primary source it is listed above rather than</w:t>
      </w:r>
      <w:r>
        <w:t xml:space="preserve"> </w:t>
      </w:r>
      <w:r>
        <w:t xml:space="preserve">smoothed over, and the page prefers "at least these" to an enumeration everywhere it can.</w:t>
      </w:r>
    </w:p>
    <w:p>
      <w:r>
        <w:pict>
          <v:rect style="width:0;height:1.5pt" o:hralign="center" o:hrstd="t" o:hr="t"/>
        </w:pict>
      </w:r>
    </w:p>
    <w:bookmarkEnd w:id="33"/>
    <w:bookmarkStart w:id="42" w:name="sources-and-how-to-re-check-them"/>
    <w:p>
      <w:pPr>
        <w:pStyle w:val="Heading2"/>
      </w:pPr>
      <w:r>
        <w:t xml:space="preserve">Sources, and how to re-check them</w:t>
      </w:r>
    </w:p>
    <w:p>
      <w:pPr>
        <w:pStyle w:val="FirstParagraph"/>
      </w:pPr>
      <w:r>
        <w:t xml:space="preserve">A status is authoritative in at least these four places:</w:t>
      </w:r>
    </w:p>
    <w:p>
      <w:pPr>
        <w:pStyle w:val="Compact"/>
        <w:numPr>
          <w:ilvl w:val="0"/>
          <w:numId w:val="1003"/>
        </w:numPr>
      </w:pPr>
      <w:r>
        <w:rPr>
          <w:b/>
          <w:bCs/>
        </w:rPr>
        <w:t xml:space="preserve">The publisher's own publications listing</w:t>
      </w:r>
      <w:r>
        <w:t xml:space="preserve">, which shows Final, Draft, Withdrawn or Superseded</w:t>
      </w:r>
      <w:r>
        <w:t xml:space="preserve"> </w:t>
      </w:r>
      <w:r>
        <w:t xml:space="preserve">against a dated record. For the NIST items that is the</w:t>
      </w:r>
      <w:r>
        <w:t xml:space="preserve"> </w:t>
      </w:r>
      <w:hyperlink r:id="rId34">
        <w:r>
          <w:rPr>
            <w:rStyle w:val="Hyperlink"/>
          </w:rPr>
          <w:t xml:space="preserve">CSRC publication records</w:t>
        </w:r>
      </w:hyperlink>
      <w:r>
        <w:t xml:space="preserve">; for the EU items, the</w:t>
      </w:r>
      <w:r>
        <w:t xml:space="preserve"> </w:t>
      </w:r>
      <w:hyperlink r:id="rId35">
        <w:r>
          <w:rPr>
            <w:rStyle w:val="Hyperlink"/>
          </w:rPr>
          <w:t xml:space="preserve">Commission's own policy pages</w:t>
        </w:r>
      </w:hyperlink>
      <w:r>
        <w:t xml:space="preserve">;</w:t>
      </w:r>
      <w:r>
        <w:t xml:space="preserve"> </w:t>
      </w:r>
      <w:r>
        <w:t xml:space="preserve">for the US federal memoranda and rules, the issuing office and the</w:t>
      </w:r>
      <w:r>
        <w:t xml:space="preserve"> </w:t>
      </w:r>
      <w:hyperlink r:id="rId36">
        <w:r>
          <w:rPr>
            <w:rStyle w:val="Hyperlink"/>
          </w:rPr>
          <w:t xml:space="preserve">Federal Register</w:t>
        </w:r>
      </w:hyperlink>
      <w:r>
        <w:t xml:space="preserve">.</w:t>
      </w:r>
    </w:p>
    <w:p>
      <w:pPr>
        <w:pStyle w:val="Compact"/>
        <w:numPr>
          <w:ilvl w:val="0"/>
          <w:numId w:val="1003"/>
        </w:numPr>
      </w:pPr>
      <w:r>
        <w:rPr>
          <w:b/>
          <w:bCs/>
        </w:rPr>
        <w:t xml:space="preserve">The program's own definitions page</w:t>
      </w:r>
      <w:r>
        <w:t xml:space="preserve">, for anything whose vocabulary has moved. The</w:t>
      </w:r>
      <w:r>
        <w:t xml:space="preserve"> </w:t>
      </w:r>
      <w:hyperlink r:id="rId37">
        <w:r>
          <w:rPr>
            <w:rStyle w:val="Hyperlink"/>
          </w:rPr>
          <w:t xml:space="preserve">cloud program's definitions</w:t>
        </w:r>
      </w:hyperlink>
      <w:r>
        <w:t xml:space="preserve"> </w:t>
      </w:r>
      <w:r>
        <w:t xml:space="preserve">is the live example.</w:t>
      </w:r>
    </w:p>
    <w:p>
      <w:pPr>
        <w:pStyle w:val="Compact"/>
        <w:numPr>
          <w:ilvl w:val="0"/>
          <w:numId w:val="1003"/>
        </w:numPr>
      </w:pPr>
      <w:r>
        <w:rPr>
          <w:b/>
          <w:bCs/>
        </w:rPr>
        <w:t xml:space="preserve">The clause, plus any deviation that modifies it.</w:t>
      </w:r>
      <w:r>
        <w:t xml:space="preserve"> </w:t>
      </w:r>
      <w:r>
        <w:t xml:space="preserve">A publication database answers a different</w:t>
      </w:r>
      <w:r>
        <w:t xml:space="preserve"> </w:t>
      </w:r>
      <w:r>
        <w:t xml:space="preserve">question from the one your contract asks.</w:t>
      </w:r>
    </w:p>
    <w:p>
      <w:pPr>
        <w:pStyle w:val="Compact"/>
        <w:numPr>
          <w:ilvl w:val="0"/>
          <w:numId w:val="1003"/>
        </w:numPr>
      </w:pPr>
      <w:r>
        <w:rPr>
          <w:b/>
          <w:bCs/>
        </w:rPr>
        <w:t xml:space="preserve">The data file's own header</w:t>
      </w:r>
      <w:r>
        <w:t xml:space="preserve">, for a generated score. The published exploit-probability data</w:t>
      </w:r>
      <w:r>
        <w:t xml:space="preserve"> </w:t>
      </w:r>
      <w:r>
        <w:t xml:space="preserve">carries a comment line naming the generating model.</w:t>
      </w:r>
    </w:p>
    <w:p>
      <w:pPr>
        <w:pStyle w:val="FirstParagraph"/>
      </w:pPr>
      <w:r>
        <w:t xml:space="preserve">Where a status would otherwise be unverifiable, read the primary document: the</w:t>
      </w:r>
      <w:r>
        <w:t xml:space="preserve"> </w:t>
      </w:r>
      <w:hyperlink r:id="rId38">
        <w:r>
          <w:rPr>
            <w:rStyle w:val="Hyperlink"/>
          </w:rPr>
          <w:t xml:space="preserve">January 2026 memorandum that rescinded the federal attestation mandate</w:t>
        </w:r>
      </w:hyperlink>
      <w:r>
        <w:t xml:space="preserve">,</w:t>
      </w:r>
      <w:r>
        <w:t xml:space="preserve"> </w:t>
      </w:r>
      <w:r>
        <w:t xml:space="preserve">the</w:t>
      </w:r>
      <w:r>
        <w:t xml:space="preserve"> </w:t>
      </w:r>
      <w:hyperlink r:id="rId39">
        <w:r>
          <w:rPr>
            <w:rStyle w:val="Hyperlink"/>
          </w:rPr>
          <w:t xml:space="preserve">2026 SBOM minimum elements</w:t>
        </w:r>
      </w:hyperlink>
      <w:r>
        <w:t xml:space="preserve">,</w:t>
      </w:r>
      <w:r>
        <w:t xml:space="preserve"> </w:t>
      </w:r>
      <w:r>
        <w:t xml:space="preserve">the</w:t>
      </w:r>
      <w:r>
        <w:t xml:space="preserve"> </w:t>
      </w:r>
      <w:hyperlink r:id="rId40">
        <w:r>
          <w:rPr>
            <w:rStyle w:val="Hyperlink"/>
          </w:rPr>
          <w:t xml:space="preserve">SSDF publication listing</w:t>
        </w:r>
      </w:hyperlink>
      <w:r>
        <w:t xml:space="preserve">, and the</w:t>
      </w:r>
      <w:r>
        <w:t xml:space="preserve"> </w:t>
      </w:r>
      <w:hyperlink r:id="rId41">
        <w:r>
          <w:rPr>
            <w:rStyle w:val="Hyperlink"/>
          </w:rPr>
          <w:t xml:space="preserve">build and source track specifications</w:t>
        </w:r>
      </w:hyperlink>
      <w:r>
        <w:t xml:space="preserve">.</w:t>
      </w:r>
    </w:p>
    <w:p>
      <w:r>
        <w:pict>
          <v:rect style="width:0;height:1.5pt" o:hralign="center" o:hrstd="t" o:hr="t"/>
        </w:pict>
      </w:r>
    </w:p>
    <w:bookmarkEnd w:id="42"/>
    <w:bookmarkStart w:id="47"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Which of these is even worth your attention, routed by situation</w:t>
            </w:r>
          </w:p>
        </w:tc>
        <w:tc>
          <w:tcPr/>
          <w:p>
            <w:pPr>
              <w:pStyle w:val="Compact"/>
            </w:pPr>
            <w:hyperlink r:id="rId9">
              <w:r>
                <w:rPr>
                  <w:rStyle w:val="Hyperlink"/>
                </w:rPr>
                <w:t xml:space="preserve">Which standards apply to you</w:t>
              </w:r>
            </w:hyperlink>
          </w:p>
        </w:tc>
      </w:tr>
      <w:tr>
        <w:tc>
          <w:tcPr/>
          <w:p>
            <w:pPr>
              <w:pStyle w:val="Compact"/>
            </w:pPr>
            <w:r>
              <w:t xml:space="preserve">What a buyer will ask you for, and what each artifact actually proves</w:t>
            </w:r>
          </w:p>
        </w:tc>
        <w:tc>
          <w:tcPr/>
          <w:p>
            <w:pPr>
              <w:pStyle w:val="Compact"/>
            </w:pPr>
            <w:hyperlink r:id="rId43">
              <w:r>
                <w:rPr>
                  <w:rStyle w:val="Hyperlink"/>
                </w:rPr>
                <w:t xml:space="preserve">What to have ready when a buyer asks</w:t>
              </w:r>
            </w:hyperlink>
          </w:p>
        </w:tc>
      </w:tr>
      <w:tr>
        <w:tc>
          <w:tcPr/>
          <w:p>
            <w:pPr>
              <w:pStyle w:val="Compact"/>
            </w:pPr>
            <w:r>
              <w:t xml:space="preserve">Whether your teams already do this</w:t>
            </w:r>
          </w:p>
        </w:tc>
        <w:tc>
          <w:tcPr/>
          <w:p>
            <w:pPr>
              <w:pStyle w:val="Compact"/>
            </w:pPr>
            <w:hyperlink r:id="rId44">
              <w:r>
                <w:rPr>
                  <w:rStyle w:val="Hyperlink"/>
                </w:rPr>
                <w:t xml:space="preserve">The CISO summary</w:t>
              </w:r>
            </w:hyperlink>
          </w:p>
        </w:tc>
      </w:tr>
      <w:tr>
        <w:tc>
          <w:tcPr/>
          <w:p>
            <w:pPr>
              <w:pStyle w:val="Compact"/>
            </w:pPr>
            <w:r>
              <w:t xml:space="preserve">The control set for AI-assisted work</w:t>
            </w:r>
          </w:p>
        </w:tc>
        <w:tc>
          <w:tcPr/>
          <w:p>
            <w:pPr>
              <w:pStyle w:val="Compact"/>
            </w:pPr>
            <w:hyperlink r:id="rId45">
              <w:r>
                <w:rPr>
                  <w:rStyle w:val="Hyperlink"/>
                </w:rPr>
                <w:t xml:space="preserve">AI-assisted development</w:t>
              </w:r>
            </w:hyperlink>
          </w:p>
        </w:tc>
      </w:tr>
      <w:tr>
        <w:tc>
          <w:tcPr/>
          <w:p>
            <w:pPr>
              <w:pStyle w:val="Compact"/>
            </w:pPr>
            <w:r>
              <w:t xml:space="preserve">The process a build must satisfy, and who owns which control</w:t>
            </w:r>
          </w:p>
        </w:tc>
        <w:tc>
          <w:tcPr/>
          <w:p>
            <w:pPr>
              <w:pStyle w:val="Compact"/>
            </w:pPr>
            <w:hyperlink r:id="rId22">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16">
              <w:r>
                <w:rPr>
                  <w:rStyle w:val="Hyperlink"/>
                </w:rPr>
                <w:t xml:space="preserve">Dependency integrity</w:t>
              </w:r>
            </w:hyperlink>
          </w:p>
        </w:tc>
      </w:tr>
      <w:tr>
        <w:tc>
          <w:tcPr/>
          <w:p>
            <w:pPr>
              <w:pStyle w:val="Compact"/>
            </w:pPr>
            <w:r>
              <w:t xml:space="preserve">Running an assessment against a standard with several hundred requirements</w:t>
            </w:r>
          </w:p>
        </w:tc>
        <w:tc>
          <w:tcPr/>
          <w:p>
            <w:pPr>
              <w:pStyle w:val="Compact"/>
            </w:pPr>
            <w:hyperlink r:id="rId31">
              <w:r>
                <w:rPr>
                  <w:rStyle w:val="Hyperlink"/>
                </w:rPr>
                <w:t xml:space="preserve">Use OWASP ASVS 5.0</w:t>
              </w:r>
            </w:hyperlink>
          </w:p>
        </w:tc>
      </w:tr>
      <w:tr>
        <w:tc>
          <w:tcPr/>
          <w:p>
            <w:pPr>
              <w:pStyle w:val="Compact"/>
            </w:pPr>
            <w:r>
              <w:t xml:space="preserve">All of it, and how to adopt</w:t>
            </w:r>
          </w:p>
        </w:tc>
        <w:tc>
          <w:tcPr/>
          <w:p>
            <w:pPr>
              <w:pStyle w:val="Compact"/>
            </w:pPr>
            <w:hyperlink r:id="rId46">
              <w:r>
                <w:rPr>
                  <w:rStyle w:val="Hyperlink"/>
                </w:rPr>
                <w:t xml:space="preserve">Overview</w:t>
              </w:r>
            </w:hyperlink>
          </w:p>
        </w:tc>
      </w:tr>
    </w:tbl>
    <w:p>
      <w:r>
        <w:pict>
          <v:rect style="width:0;height:1.5pt" o:hralign="center" o:hrstd="t" o:hr="t"/>
        </w:pict>
      </w:r>
    </w:p>
    <w:p>
      <w:pPr>
        <w:pStyle w:val="FirstParagraph"/>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ASVS-ASSESSMENT.md" TargetMode="External" /><Relationship Type="http://schemas.openxmlformats.org/officeDocument/2006/relationships/hyperlink" Id="rId45" Target="AI-ASSISTED-DEVELOPMENT.md" TargetMode="External" /><Relationship Type="http://schemas.openxmlformats.org/officeDocument/2006/relationships/hyperlink" Id="rId44" Target="CISO-SUMMARY.md" TargetMode="External" /><Relationship Type="http://schemas.openxmlformats.org/officeDocument/2006/relationships/hyperlink" Id="rId26" Target="CODE-QUALITY.md" TargetMode="External" /><Relationship Type="http://schemas.openxmlformats.org/officeDocument/2006/relationships/hyperlink" Id="rId16" Target="DEPENDENCY-INTEGRITY.md" TargetMode="External" /><Relationship Type="http://schemas.openxmlformats.org/officeDocument/2006/relationships/hyperlink" Id="rId43" Target="DILIGENCE-PACKET.md" TargetMode="External" /><Relationship Type="http://schemas.openxmlformats.org/officeDocument/2006/relationships/hyperlink" Id="rId46" Target="OVERVIEW.md" TargetMode="External" /><Relationship Type="http://schemas.openxmlformats.org/officeDocument/2006/relationships/hyperlink" Id="rId12" Target="OVERVIEW.md#the-files" TargetMode="External" /><Relationship Type="http://schemas.openxmlformats.org/officeDocument/2006/relationships/hyperlink" Id="rId22" Target="SECURE-DEVELOPMENT.md" TargetMode="External" /><Relationship Type="http://schemas.openxmlformats.org/officeDocument/2006/relationships/hyperlink" Id="rId9" Target="WHICH-STANDARDS-APPLY.md" TargetMode="External" /><Relationship Type="http://schemas.openxmlformats.org/officeDocument/2006/relationships/hyperlink" Id="rId40" Target="https://csrc.nist.gov/Projects/ssdf/publications" TargetMode="External" /><Relationship Type="http://schemas.openxmlformats.org/officeDocument/2006/relationships/hyperlink" Id="rId34" Target="https://csrc.nist.gov/publications" TargetMode="External" /><Relationship Type="http://schemas.openxmlformats.org/officeDocument/2006/relationships/hyperlink" Id="rId35" Target="https://digital-strategy.ec.europa.eu/en/policies/cyber-resilience-act" TargetMode="External" /><Relationship Type="http://schemas.openxmlformats.org/officeDocument/2006/relationships/hyperlink" Id="rId10" Target="https://secure-development-standards.pages.dev/standards/STANDARDS-REFERENCE.md" TargetMode="External" /><Relationship Type="http://schemas.openxmlformats.org/officeDocument/2006/relationships/hyperlink" Id="rId13" Target="https://secure-development-standards.pages.dev/standards/WHICH-STANDARDS-APPLY.html#what-this-page-did-not-assess" TargetMode="External" /><Relationship Type="http://schemas.openxmlformats.org/officeDocument/2006/relationships/hyperlink" Id="rId11" Target="https://secure-development-standards.pages.dev/standards/word/STANDARDS-REFERENCE.docx" TargetMode="External" /><Relationship Type="http://schemas.openxmlformats.org/officeDocument/2006/relationships/hyperlink" Id="rId41" Target="https://slsa.dev/spec/v1.2/build-requirements" TargetMode="External" /><Relationship Type="http://schemas.openxmlformats.org/officeDocument/2006/relationships/hyperlink" Id="rId39" Target="https://www.cisa.gov/resources-tools/resources/2026-minimum-elements-software-bill-materials-sbom" TargetMode="External" /><Relationship Type="http://schemas.openxmlformats.org/officeDocument/2006/relationships/hyperlink" Id="rId36" Target="https://www.federalregister.gov/" TargetMode="External" /><Relationship Type="http://schemas.openxmlformats.org/officeDocument/2006/relationships/hyperlink" Id="rId37" Target="https://www.fedramp.gov/2026/definitions/" TargetMode="External" /><Relationship Type="http://schemas.openxmlformats.org/officeDocument/2006/relationships/hyperlink" Id="rId38" Target="https://www.whitehouse.gov/wp-content/uploads/2026/01/M-26-05-Adopting-a-Risk-based-Approach-to-Software-and-Hardware-Security.pdf" TargetMode="External" /></Relationships>
</file>

<file path=word/_rels/footnotes.xml.rels><?xml version="1.0" encoding="UTF-8"?><Relationships xmlns="http://schemas.openxmlformats.org/package/2006/relationships"><Relationship Type="http://schemas.openxmlformats.org/officeDocument/2006/relationships/hyperlink" Id="rId31" Target="../ASVS-ASSESSMENT.md" TargetMode="External" /><Relationship Type="http://schemas.openxmlformats.org/officeDocument/2006/relationships/hyperlink" Id="rId45" Target="AI-ASSISTED-DEVELOPMENT.md" TargetMode="External" /><Relationship Type="http://schemas.openxmlformats.org/officeDocument/2006/relationships/hyperlink" Id="rId44" Target="CISO-SUMMARY.md" TargetMode="External" /><Relationship Type="http://schemas.openxmlformats.org/officeDocument/2006/relationships/hyperlink" Id="rId26" Target="CODE-QUALITY.md" TargetMode="External" /><Relationship Type="http://schemas.openxmlformats.org/officeDocument/2006/relationships/hyperlink" Id="rId16" Target="DEPENDENCY-INTEGRITY.md" TargetMode="External" /><Relationship Type="http://schemas.openxmlformats.org/officeDocument/2006/relationships/hyperlink" Id="rId43" Target="DILIGENCE-PACKET.md" TargetMode="External" /><Relationship Type="http://schemas.openxmlformats.org/officeDocument/2006/relationships/hyperlink" Id="rId46" Target="OVERVIEW.md" TargetMode="External" /><Relationship Type="http://schemas.openxmlformats.org/officeDocument/2006/relationships/hyperlink" Id="rId12" Target="OVERVIEW.md#the-files" TargetMode="External" /><Relationship Type="http://schemas.openxmlformats.org/officeDocument/2006/relationships/hyperlink" Id="rId22" Target="SECURE-DEVELOPMENT.md" TargetMode="External" /><Relationship Type="http://schemas.openxmlformats.org/officeDocument/2006/relationships/hyperlink" Id="rId9" Target="WHICH-STANDARDS-APPLY.md" TargetMode="External" /><Relationship Type="http://schemas.openxmlformats.org/officeDocument/2006/relationships/hyperlink" Id="rId40" Target="https://csrc.nist.gov/Projects/ssdf/publications" TargetMode="External" /><Relationship Type="http://schemas.openxmlformats.org/officeDocument/2006/relationships/hyperlink" Id="rId34" Target="https://csrc.nist.gov/publications" TargetMode="External" /><Relationship Type="http://schemas.openxmlformats.org/officeDocument/2006/relationships/hyperlink" Id="rId35" Target="https://digital-strategy.ec.europa.eu/en/policies/cyber-resilience-act" TargetMode="External" /><Relationship Type="http://schemas.openxmlformats.org/officeDocument/2006/relationships/hyperlink" Id="rId10" Target="https://secure-development-standards.pages.dev/standards/STANDARDS-REFERENCE.md" TargetMode="External" /><Relationship Type="http://schemas.openxmlformats.org/officeDocument/2006/relationships/hyperlink" Id="rId13" Target="https://secure-development-standards.pages.dev/standards/WHICH-STANDARDS-APPLY.html#what-this-page-did-not-assess" TargetMode="External" /><Relationship Type="http://schemas.openxmlformats.org/officeDocument/2006/relationships/hyperlink" Id="rId11" Target="https://secure-development-standards.pages.dev/standards/word/STANDARDS-REFERENCE.docx" TargetMode="External" /><Relationship Type="http://schemas.openxmlformats.org/officeDocument/2006/relationships/hyperlink" Id="rId41" Target="https://slsa.dev/spec/v1.2/build-requirements" TargetMode="External" /><Relationship Type="http://schemas.openxmlformats.org/officeDocument/2006/relationships/hyperlink" Id="rId39" Target="https://www.cisa.gov/resources-tools/resources/2026-minimum-elements-software-bill-materials-sbom" TargetMode="External" /><Relationship Type="http://schemas.openxmlformats.org/officeDocument/2006/relationships/hyperlink" Id="rId36" Target="https://www.federalregister.gov/" TargetMode="External" /><Relationship Type="http://schemas.openxmlformats.org/officeDocument/2006/relationships/hyperlink" Id="rId37" Target="https://www.fedramp.gov/2026/definitions/" TargetMode="External" /><Relationship Type="http://schemas.openxmlformats.org/officeDocument/2006/relationships/hyperlink" Id="rId38" Target="https://www.whitehouse.gov/wp-content/uploads/2026/01/M-26-05-Adopting-a-Risk-based-Approach-to-Software-and-Hardware-Security.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2026-08-10T20:34:15Z</dcterms:created>
  <dcterms:modified xsi:type="dcterms:W3CDTF">2026-08-10T20:34:15Z</dcterms:modified>
</cp:coreProperties>
</file>

<file path=docProps/custom.xml><?xml version="1.0" encoding="utf-8"?>
<Properties xmlns="http://schemas.openxmlformats.org/officeDocument/2006/custom-properties" xmlns:vt="http://schemas.openxmlformats.org/officeDocument/2006/docPropsVTypes"/>
</file>