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X80c3b73d1b8afdbe491c6b8b2979a6a303b898f"/>
    <w:p>
      <w:pPr>
        <w:pStyle w:val="Heading1"/>
      </w:pPr>
      <w:r>
        <w:t xml:space="preserve">What to have ready when a buyer asks, and what each artifact proves</w:t>
      </w:r>
    </w:p>
    <w:p>
      <w:pPr>
        <w:pStyle w:val="FirstParagraph"/>
      </w:pPr>
      <w:r>
        <w:rPr>
          <w:b/>
          <w:bCs/>
        </w:rPr>
        <w:t xml:space="preserve">Every serious buyer asks for the same small, predictable set of documents. Have them on the shelf</w:t>
      </w:r>
      <w:r>
        <w:rPr>
          <w:b/>
          <w:bCs/>
        </w:rPr>
        <w:t xml:space="preserve"> </w:t>
      </w:r>
      <w:r>
        <w:rPr>
          <w:b/>
          <w:bCs/>
        </w:rPr>
        <w:t xml:space="preserve">before the first call, and know for each one the claim it carries and the claim it does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What to have ready when a buyer asks for security evidence, sorted by layer: your</w:t>
      </w:r>
      <w:r>
        <w:t xml:space="preserve"> </w:t>
      </w:r>
      <w:r>
        <w:t xml:space="preserve">company, your software, and the contract.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commonest vendor mistake is offering an audit report or a certificate as an</w:t>
      </w:r>
      <w:r>
        <w:t xml:space="preserve"> </w:t>
      </w:r>
      <w:r>
        <w:t xml:space="preserve">answer about the product. Those instruments never open your code. You can hold a clean twelve-month</w:t>
      </w:r>
      <w:r>
        <w:t xml:space="preserve"> </w:t>
      </w:r>
      <w:r>
        <w:t xml:space="preserve">report, ship software with an authorization flaw, and have said nothing false. Offer it as product</w:t>
      </w:r>
      <w:r>
        <w:t xml:space="preserve"> </w:t>
      </w:r>
      <w:r>
        <w:t xml:space="preserve">evidence and you have said something false.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Three artifacts before the first call, each of which is a document, a date or</w:t>
      </w:r>
      <w:r>
        <w:t xml:space="preserve"> </w:t>
      </w:r>
      <w:r>
        <w:t xml:space="preserve">a name. None can be answered with an adjective, and a buyer who accepts one is not the buyer whose</w:t>
      </w:r>
      <w:r>
        <w:t xml:space="preserve"> </w:t>
      </w:r>
      <w:r>
        <w:t xml:space="preserve">approval is worth having.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legal advice. Nothing here has been reviewed by counsel, and</w:t>
      </w:r>
      <w:r>
        <w:t xml:space="preserve"> </w:t>
      </w:r>
      <w:hyperlink w:anchor="what-this-page-does-not-do">
        <w:r>
          <w:rPr>
            <w:rStyle w:val="Hyperlink"/>
          </w:rPr>
          <w:t xml:space="preserve">what this page does not do</w:t>
        </w:r>
      </w:hyperlink>
      <w:r>
        <w:t xml:space="preserve"> </w:t>
      </w:r>
      <w:r>
        <w:t xml:space="preserve">marks the rest of the boundary.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three-things-to-have-ready">
        <w:r>
          <w:rPr>
            <w:rStyle w:val="Hyperlink"/>
          </w:rPr>
          <w:t xml:space="preserve">The three things to have ready</w:t>
        </w:r>
      </w:hyperlink>
      <w:r>
        <w:t xml:space="preserve">, before the</w:t>
      </w:r>
      <w:r>
        <w:t xml:space="preserve"> </w:t>
      </w:r>
      <w:r>
        <w:t xml:space="preserve">first call rather than during it.</w:t>
      </w:r>
    </w:p>
    <w:p>
      <w:r>
        <w:pict>
          <v:rect style="width:0;height:1.5pt" o:hralign="center" o:hrstd="t" o:hr="t"/>
        </w:pict>
      </w:r>
    </w:p>
    <w:bookmarkEnd w:id="12"/>
    <w:bookmarkStart w:id="13" w:name="the-three-things-to-have-ready"/>
    <w:p>
      <w:pPr>
        <w:pStyle w:val="Heading2"/>
      </w:pPr>
      <w:r>
        <w:t xml:space="preserve">The three things to have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you hold. Not the certificate,</w:t>
      </w:r>
      <w:r>
        <w:t xml:space="preserve"> </w:t>
      </w:r>
      <w:r>
        <w:t xml:space="preserve">not the cover page. It alone decides whether the thing being bought was inside the examination,</w:t>
      </w:r>
      <w:r>
        <w:t xml:space="preserve"> </w:t>
      </w:r>
      <w:r>
        <w:t xml:space="preserve">and for software you distribute rather than host, the answer is frequently no. Say so yourself: a</w:t>
      </w:r>
      <w:r>
        <w:t xml:space="preserve"> </w:t>
      </w:r>
      <w:r>
        <w:t xml:space="preserve">paragraph now costs less than a deal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the buyer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service, the runtime production environment. Generate it from the build --</w:t>
      </w:r>
      <w:r>
        <w:t xml:space="preserve"> </w:t>
      </w:r>
      <w:r>
        <w:t xml:space="preserve">a hand-maintained list is a document about your intentions.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your last dynamic test, your last incident response exercise, and who</w:t>
      </w:r>
      <w:r>
        <w:t xml:space="preserve"> </w:t>
      </w:r>
      <w:r>
        <w:t xml:space="preserve">ran the test. Both dates are trivial to supply if they happened and impossible to produce</w:t>
      </w:r>
      <w:r>
        <w:t xml:space="preserve"> </w:t>
      </w:r>
      <w:r>
        <w:t xml:space="preserve">retrospectively, which is why they are asked for. The name decides whether you are offering an</w:t>
      </w:r>
      <w:r>
        <w:t xml:space="preserve"> </w:t>
      </w:r>
      <w:r>
        <w:t xml:space="preserve">independent look or your own tooling's output.</w:t>
      </w:r>
    </w:p>
    <w:p>
      <w:r>
        <w:pict>
          <v:rect style="width:0;height:1.5pt" o:hralign="center" o:hrstd="t" o:hr="t"/>
        </w:pict>
      </w:r>
    </w:p>
    <w:bookmarkEnd w:id="13"/>
    <w:bookmarkStart w:id="15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skip these instruments. That somebody outside the company examined how</w:t>
      </w:r>
      <w:r>
        <w:t xml:space="preserve"> </w:t>
      </w:r>
      <w:r>
        <w:t xml:space="preserve">you govern yourself, grant access and manage change is worth establishing, and a vendor holding none</w:t>
      </w:r>
      <w:r>
        <w:t xml:space="preserve"> </w:t>
      </w:r>
      <w:r>
        <w:t xml:space="preserve">is a different risk entirely. The failure is narrower: letting a program attestation stand as an</w:t>
      </w:r>
      <w:r>
        <w:t xml:space="preserve"> </w:t>
      </w:r>
      <w:r>
        <w:t xml:space="preserve">answer to "is this product secure", when no part of it asked that.</w:t>
      </w:r>
    </w:p>
    <w:p>
      <w:pPr>
        <w:pStyle w:val="BodyText"/>
      </w:pPr>
      <w:r>
        <w:t xml:space="preserve">Statuses, versions and dates live on the reference page, each carrying the date it was checked. The</w:t>
      </w:r>
      <w:r>
        <w:t xml:space="preserve"> </w:t>
      </w:r>
      <w:r>
        <w:t xml:space="preserve">same cut, as a rule you can hold your own process to, is</w:t>
      </w:r>
      <w:r>
        <w:t xml:space="preserve"> </w:t>
      </w:r>
      <w:hyperlink r:id="rId14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d0788155b9cd6a69def89aded25881d2012bf98"/>
    <w:p>
      <w:pPr>
        <w:pStyle w:val="Heading2"/>
      </w:pPr>
      <w:r>
        <w:t xml:space="preserve">Organization layer: evidence about your company</w:t>
      </w:r>
    </w:p>
    <w:p>
      <w:pPr>
        <w:pStyle w:val="FirstParagraph"/>
      </w:pPr>
      <w:r>
        <w:t xml:space="preserve">Procurement already knows how to ask for these. Most are issued by someone other than you, which is</w:t>
      </w:r>
      <w:r>
        <w:t xml:space="preserve"> </w:t>
      </w:r>
      <w:r>
        <w:t xml:space="preserve">where their weight comes from -- and none of that weight is about your product. One caveat governs</w:t>
      </w:r>
      <w:r>
        <w:t xml:space="preserve"> </w:t>
      </w:r>
      <w:r>
        <w:t xml:space="preserve">the group: an examination or a certification has a boundary, and software you distribute frequently</w:t>
      </w:r>
      <w:r>
        <w:t xml:space="preserve"> </w:t>
      </w:r>
      <w:r>
        <w:t xml:space="preserve">falls outside it. That boundary appears in the scope statement and nowhere else, so the scope</w:t>
      </w:r>
      <w:r>
        <w:t xml:space="preserve"> </w:t>
      </w:r>
      <w:r>
        <w:t xml:space="preserve">statement is the part to have ready.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your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your organization rather than your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the date the first Type II period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you elected</w:t>
            </w:r>
          </w:p>
        </w:tc>
        <w:tc>
          <w:tcPr/>
          <w:p>
            <w:pPr>
              <w:pStyle w:val="Compact"/>
            </w:pPr>
            <w:r>
              <w:t xml:space="preserve">That your distributed software was examined; it commonly sits outside the scope boundary. The report is an attestation, not a certificate -- there is no pass mark to claim</w:t>
            </w:r>
          </w:p>
        </w:tc>
        <w:tc>
          <w:tcPr/>
          <w:p>
            <w:pPr>
              <w:pStyle w:val="Compact"/>
            </w:pPr>
            <w:r>
              <w:t xml:space="preserve">What the scope covered, and every exception the firm listed, offered rather than waited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your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your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The scope printed on the certificate, and who accredited the body that issued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your distributable software was assessed. What is assessed is your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you hold and what the assessment took in, without leaning on the tier name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a customer installs and runs themselves. Nor that a third party did the assessing: a PCI DSS self-assessment questionnaire is completed and signed by you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whether it was independently assessed or self-assessed, and whether it is the offering being bought</w:t>
            </w:r>
          </w:p>
        </w:tc>
      </w:tr>
    </w:tbl>
    <w:p>
      <w:pPr>
        <w:pStyle w:val="BodyText"/>
      </w:pPr>
      <w:r>
        <w:t xml:space="preserve">Three things that will be used against you if you leave them for the buyer to find: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invites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 Be ready to explain</w:t>
      </w:r>
      <w:r>
        <w:t xml:space="preserve"> </w:t>
      </w:r>
      <w:r>
        <w:t xml:space="preserve">a clean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Do not let them take it wider. The standards publisher issues nothing --</w:t>
      </w:r>
      <w:r>
        <w:t xml:space="preserve"> </w:t>
      </w:r>
      <w:r>
        <w:t xml:space="preserve">the accredited body 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outranks the others.</w:t>
      </w:r>
      <w:r>
        <w:t xml:space="preserve"> </w:t>
      </w:r>
      <w:r>
        <w:t xml:space="preserve">Its two</w:t>
      </w:r>
      <w:r>
        <w:t xml:space="preserve"> </w:t>
      </w:r>
      <w:r>
        <w:t xml:space="preserve">lower tiers are fixed core control sets, the highest is tailored and risk-based, so a tier name</w:t>
      </w:r>
      <w:r>
        <w:t xml:space="preserve"> </w:t>
      </w:r>
      <w:r>
        <w:t xml:space="preserve">alone says less than it sounds like: offer tier and scope. Never circulate control text, which is</w:t>
      </w:r>
      <w:r>
        <w:t xml:space="preserve"> </w:t>
      </w:r>
      <w:r>
        <w:t xml:space="preserve">licensed. And the body that writes a program standard is often not the body that sets your</w:t>
      </w:r>
      <w:r>
        <w:t xml:space="preserve"> </w:t>
      </w:r>
      <w:r>
        <w:t xml:space="preserve">customer's validation requirement.</w:t>
      </w:r>
    </w:p>
    <w:p>
      <w:r>
        <w:pict>
          <v:rect style="width:0;height:1.5pt" o:hralign="center" o:hrstd="t" o:hr="t"/>
        </w:pict>
      </w:r>
    </w:p>
    <w:bookmarkEnd w:id="16"/>
    <w:bookmarkStart w:id="19" w:name="Xfd36b0890dc45bbde1e15e48c08f9e5ad94ea58"/>
    <w:p>
      <w:pPr>
        <w:pStyle w:val="Heading2"/>
      </w:pPr>
      <w:r>
        <w:t xml:space="preserve">Software layer: evidence about the thing you are selling</w:t>
      </w:r>
    </w:p>
    <w:p>
      <w:pPr>
        <w:pStyle w:val="FirstParagraph"/>
      </w:pPr>
      <w:r>
        <w:t xml:space="preserve">Nothing above examined your code or your build. These four do, and for each the buyer's real</w:t>
      </w:r>
      <w:r>
        <w:t xml:space="preserve"> </w:t>
      </w:r>
      <w:r>
        <w:t xml:space="preserve">question is how it was produced. Three you write about your own system, so their weight comes from</w:t>
      </w:r>
      <w:r>
        <w:t xml:space="preserve"> </w:t>
      </w:r>
      <w:r>
        <w:t xml:space="preserve">the discipline behind them rather than from who issued them -- describe the discipline. Testing</w:t>
      </w:r>
      <w:r>
        <w:t xml:space="preserve"> </w:t>
      </w:r>
      <w:r>
        <w:t xml:space="preserve">evidence is the exception and the strongest item here, in one form only: an external assessment or a</w:t>
      </w:r>
      <w:r>
        <w:t xml:space="preserve"> </w:t>
      </w:r>
      <w:r>
        <w:t xml:space="preserve">penetration test, the one software-layer artifact a third party issues. Expect that request by name,</w:t>
      </w:r>
      <w:r>
        <w:t xml:space="preserve"> </w:t>
      </w:r>
      <w:r>
        <w:t xml:space="preserve">and expect it to test whether you offer your own tooling's output instead.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the buyer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That it is generated by the build for the exact released artifact, rather than hand-maintained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you use,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they live, and what happens on rotation and on revocation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whether they were independent of the team that wrote the code</w:t>
            </w:r>
          </w:p>
        </w:tc>
      </w:tr>
    </w:tbl>
    <w:p>
      <w:pPr>
        <w:pStyle w:val="BodyText"/>
      </w:pPr>
      <w:r>
        <w:t xml:space="preserve">Two follow-ups you will be asked, so answer them unprompted: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describes what is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Three of these rows are outputs of a process rather than documents to write at diligence time.</w:t>
      </w:r>
      <w:r>
        <w:t xml:space="preserve"> </w:t>
      </w:r>
      <w:hyperlink r:id="rId17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data flow diagram and the testing regime</w:t>
      </w:r>
      <w:r>
        <w:t xml:space="preserve"> </w:t>
      </w:r>
      <w:r>
        <w:t xml:space="preserve">come from;</w:t>
      </w:r>
      <w:r>
        <w:t xml:space="preserve"> </w:t>
      </w:r>
      <w:hyperlink r:id="rId18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where the SBOM comes from, with the</w:t>
      </w:r>
      <w:r>
        <w:t xml:space="preserve"> </w:t>
      </w:r>
      <w:r>
        <w:t xml:space="preserve">dated citation behind the runtime-versus-build distinction. Build them there and diligence becomes a</w:t>
      </w:r>
      <w:r>
        <w:t xml:space="preserve"> </w:t>
      </w:r>
      <w:r>
        <w:t xml:space="preserve">retrieval task.</w:t>
      </w:r>
    </w:p>
    <w:p>
      <w:r>
        <w:pict>
          <v:rect style="width:0;height:1.5pt" o:hralign="center" o:hrstd="t" o:hr="t"/>
        </w:pict>
      </w:r>
    </w:p>
    <w:bookmarkEnd w:id="19"/>
    <w:bookmarkStart w:id="20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liability. They do not establish security, and offering them as though they do is the</w:t>
      </w:r>
      <w:r>
        <w:t xml:space="preserve"> </w:t>
      </w:r>
      <w:r>
        <w:t xml:space="preserve">same overclaim in a third costume: a complete set says what happens after a failure, nothing about</w:t>
      </w:r>
      <w:r>
        <w:t xml:space="preserve"> </w:t>
      </w:r>
      <w:r>
        <w:t xml:space="preserve">its likelihood. They are read for their clock definitions and notification paths, which is where</w:t>
      </w:r>
      <w:r>
        <w:t xml:space="preserve"> </w:t>
      </w:r>
      <w:r>
        <w:t xml:space="preserve">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you miss it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the clock starts, when it stops, and how a reporter reaches a human outside business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your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Your current subprocessor list, how customers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places these fail, both common and both yours to fix before anyone reads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clock that starts when you accept</w:t>
      </w:r>
      <w:r>
        <w:t xml:space="preserve"> </w:t>
      </w:r>
      <w:r>
        <w:t xml:space="preserve">triage is unbounded whatever the number on it, and a careful buyer will say so. "Patch released" is</w:t>
      </w:r>
      <w:r>
        <w:t xml:space="preserve"> </w:t>
      </w:r>
      <w:r>
        <w:t xml:space="preserve">also not "patch deployed": for software the customer runs, deployment is their side of the line,</w:t>
      </w:r>
      <w:r>
        <w:t xml:space="preserve"> </w:t>
      </w:r>
      <w:r>
        <w:t xml:space="preserve">and the agreement should say which side it means.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  <w:r>
        <w:t xml:space="preserve"> </w:t>
      </w:r>
      <w:r>
        <w:t xml:space="preserve">Run one and date it.</w:t>
      </w:r>
    </w:p>
    <w:p>
      <w:pPr>
        <w:pStyle w:val="FirstParagraph"/>
      </w:pPr>
      <w:hyperlink r:id="rId17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disclosure path and the remediation clock</w:t>
      </w:r>
      <w:r>
        <w:t xml:space="preserve"> </w:t>
      </w:r>
      <w:r>
        <w:t xml:space="preserve">come from.</w:t>
      </w:r>
    </w:p>
    <w:p>
      <w:r>
        <w:pict>
          <v:rect style="width:0;height:1.5pt" o:hralign="center" o:hrstd="t" o:hr="t"/>
        </w:pict>
      </w:r>
    </w:p>
    <w:bookmarkEnd w:id="20"/>
    <w:bookmarkStart w:id="21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Holding everything here is not approval, and being asked for something not listed is ordinary.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obliged to provide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a buyer can check -- more modest than either side of a procurement</w:t>
      </w:r>
      <w:r>
        <w:t xml:space="preserve"> </w:t>
      </w:r>
      <w:r>
        <w:t xml:space="preserve">conversation usually wants. Claiming more is the failure this page is about.</w:t>
      </w:r>
    </w:p>
    <w:p>
      <w:r>
        <w:pict>
          <v:rect style="width:0;height:1.5pt" o:hralign="center" o:hrstd="t" o:hr="t"/>
        </w:pict>
      </w:r>
    </w:p>
    <w:bookmarkEnd w:id="21"/>
    <w:bookmarkStart w:id="26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CI-ENFORCEMENT.md" TargetMode="External" /><Relationship Type="http://schemas.openxmlformats.org/officeDocument/2006/relationships/hyperlink" Id="rId24" Target="CISO-SUMMARY.md" TargetMode="External" /><Relationship Type="http://schemas.openxmlformats.org/officeDocument/2006/relationships/hyperlink" Id="rId18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SECURE-DEVELOPMENT.md" TargetMode="External" /><Relationship Type="http://schemas.openxmlformats.org/officeDocument/2006/relationships/hyperlink" Id="rId23" Target="STANDARDS-REFERENCE.md" TargetMode="External" /><Relationship Type="http://schemas.openxmlformats.org/officeDocument/2006/relationships/hyperlink" Id="rId14" Target="STANDARDS-REFERENCE.md#the-organization-layer-is-not-the-software-layer" TargetMode="External" /><Relationship Type="http://schemas.openxmlformats.org/officeDocument/2006/relationships/hyperlink" Id="rId22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-ENFORCEMENT.md" TargetMode="External" /><Relationship Type="http://schemas.openxmlformats.org/officeDocument/2006/relationships/hyperlink" Id="rId24" Target="CISO-SUMMARY.md" TargetMode="External" /><Relationship Type="http://schemas.openxmlformats.org/officeDocument/2006/relationships/hyperlink" Id="rId18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SECURE-DEVELOPMENT.md" TargetMode="External" /><Relationship Type="http://schemas.openxmlformats.org/officeDocument/2006/relationships/hyperlink" Id="rId23" Target="STANDARDS-REFERENCE.md" TargetMode="External" /><Relationship Type="http://schemas.openxmlformats.org/officeDocument/2006/relationships/hyperlink" Id="rId14" Target="STANDARDS-REFERENCE.md#the-organization-layer-is-not-the-software-layer" TargetMode="External" /><Relationship Type="http://schemas.openxmlformats.org/officeDocument/2006/relationships/hyperlink" Id="rId22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2026-08-11T00:13:39Z</dcterms:created>
  <dcterms:modified xsi:type="dcterms:W3CDTF">2026-08-11T00:13:39Z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